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69" w:lineRule="exact"/>
        <w:jc w:val="center"/>
      </w:pPr>
      <w:r>
        <w:rPr>
          <w:b/>
          <w:i w:val="0"/>
          <w:sz w:val="24"/>
        </w:rPr>
        <w:t>PIP FRACTURE-DISLOCATION WITH DYNAMIC EXTERNAL FIXATOR (DIGIT WIDGET) PROTOCOL</w:t>
      </w:r>
    </w:p>
    <w:p>
      <w:pPr>
        <w:spacing w:before="0" w:after="20" w:line="179" w:lineRule="exact"/>
        <w:jc w:val="left"/>
      </w:pPr>
      <w:r>
        <w:rPr>
          <w:b w:val="0"/>
          <w:i w:val="0"/>
          <w:sz w:val="16"/>
        </w:rPr>
        <w:t>Name: _____________________  Diagnosis: _____________________  Date of Surgery: ____________</w:t>
      </w:r>
    </w:p>
    <w:p>
      <w:pPr>
        <w:spacing w:before="0" w:after="60" w:line="179" w:lineRule="exact"/>
        <w:jc w:val="left"/>
      </w:pPr>
      <w:r>
        <w:rPr>
          <w:b w:val="0"/>
          <w:i w:val="0"/>
          <w:sz w:val="16"/>
        </w:rPr>
        <w:t>Frequency: 2-3 times / week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The dynamic external fixator maintains concentric joint reduction via ligamentotaxis while allowing immediate active PIP motion.</w:t>
      </w:r>
    </w:p>
    <w:p>
      <w:pPr>
        <w:spacing w:before="60" w:after="20" w:line="224" w:lineRule="exact"/>
        <w:jc w:val="left"/>
      </w:pPr>
      <w:r>
        <w:rPr>
          <w:b/>
          <w:i w:val="0"/>
          <w:sz w:val="20"/>
        </w:rPr>
        <w:t>Days 0-3: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Elevate hand.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Begin active PIP flexion/extension within the fixator immediately.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Active DIP and MCP ROM.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Weeks 0-6 (Phase I): Motion with Fixator In Place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Active PIP flexion/extension 4-6 times daily, 10-15 reps per session.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Buddy taping not applicable while fixator in place.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Pin site care: clean with saline or soap and water daily.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Edema management.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Weeks 6-8 (Phase II): Fixator Removal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Fixator removal at 6-8 weeks (per surgeon and radiographic assessment).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Continue active PIP ROM.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Buddy taping for support.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Begin gentle PROM.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Blocking exercises.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Additional Rehabilitation Protocols — Final Section</w:t>
      </w:r>
    </w:p>
    <w:p>
      <w:pPr>
        <w:spacing w:before="80" w:after="0" w:line="179" w:lineRule="exact"/>
        <w:jc w:val="left"/>
      </w:pPr>
      <w:r>
        <w:rPr>
          <w:b w:val="0"/>
          <w:i w:val="0"/>
          <w:sz w:val="16"/>
        </w:rPr>
        <w:t>Signature: _____________________________   Date: ______________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