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PHALANGEAL FRACTURE PERCUTANEOUS PINNING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 (Phase I):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Splint immobilization (hand-based or finger-based per fracture location).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ROM of uninvolved fingers.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Edema management.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2-4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active ROM of involved finger within splint or buddy taping.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tendon gliding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Pin site care.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4-6 (Phase III): Pin Removal and Progressive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Pin removal at 4-6 weeks (per radiographic healing).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Blocking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 for stiffness.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6-12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and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sport at 8-12 weeks.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Hardy MA. Principles of metacarpal and phalangeal fracture management: a review of rehabilitation concepts. JOSPT, 2004.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