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PHALANX ORIF WITH INTRAMEDULLARY FIXATION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Days 0-3: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Bulky dressing or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Elevate hand above heart level.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ROM of uninvolved fingers.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Days 3-14 (Phase I): Early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active ROM of involved finger: MCP, PIP, DIP flexion/extension.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Buddy taping to adjacent finger for support.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Tendon gliding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Edema management.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2-6 (Phase II): Progressive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AROM expected.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Blocking exercises for individual joints.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Gentle PROM for stiffness.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Scar massage once incisions healed.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6-12 (Phase III): Strengthening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grip and pinch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Functional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sport when radiographic union confirmed (typically 6-8 weeks).</w:t>
      </w:r>
    </w:p>
    <w:p>
      <w:pPr>
        <w:spacing w:before="0" w:after="40" w:line="179" w:lineRule="exact"/>
        <w:jc w:val="left"/>
      </w:pPr>
      <w:r>
        <w:rPr>
          <w:b w:val="0"/>
          <w:i/>
          <w:sz w:val="16"/>
        </w:rPr>
        <w:t>Note: Intramedullary screw fixation allows early motion (often POD 0-1) due to rigid fixation. Progression should be guided by fixation stability as assessed by surgeon.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Humar P et al. Early return of motion in patients with intramedullary screw placement for metacarpal and phalangeal fracture fixation. Ann Plast Surg, 2024; Poggetti A et al. Outcomes of 173 metacarpal and phalangeal fractures treated by intramedullary headless screw fixation. J Hand Surg Eur, 2021.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