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TENDON TRANSFER FOR AXILLARY NERVE PALSY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Common transfers: Trapezius→deltoid insertion (most common), latissimus dorsi→deltoid.</w:t>
      </w:r>
    </w:p>
    <w:p>
      <w:pPr>
        <w:spacing w:before="0" w:after="40" w:line="179" w:lineRule="exact"/>
        <w:jc w:val="left"/>
      </w:pPr>
      <w:r>
        <w:rPr>
          <w:b w:val="0"/>
          <w:i/>
          <w:sz w:val="16"/>
        </w:rPr>
        <w:t>Note: If nerve transfer was performed (e.g., triceps branch→axillary nerve), follow nerve transfer protocol below instead.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0-6 (Phase I): Immobilization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Shoulder abduction sling/brace at 60-90° abduction.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shoulder abduction or forward flexion.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Elbow/wrist/hand ROM permitted.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Passive shoulder ER/IR as tolerated.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6-10 (Phase II): Protected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Transition to sling without abduction pillow.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AAROM: shoulder abduction and forward flexion in gravity-eliminated positions.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Scapular stabilization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10-16 (Phase III): Active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 to AROM against gravity.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Tendon re-education: patient practices "shrug to abduct" (trapezius transfer).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isometrics at 12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16+ (Phase IV):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resistance with bands and light weights.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activity at 6-9 months.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⬚ CIRCLE IF NERVE TRANSFER (not tendon transfer):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for 2-4 weeks for comfort only.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PROM immediately to prevent contracture.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specific motion restrictions.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Strengthening begins when reinnervation is detected clinically or on EMG (typically 3-6 months).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Perlmutter GS, Apruzzese W. Axillary nerve injuries in contact sports. Sports Med, 1998; Krauss EM et al. Outcome analysis of medial triceps motor nerve transfer to axillary nerve. Plast Reconstr Surg, 2022.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