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TENDON TRANSFER FOR HIGH MEDIAN NERVE PALSY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Common transfers: Brachioradialis→FPL (thumb IP flexion), ECRL→FDP index/long (finger flexion), EIP→APB (opposition), side-to-side FDP index/long to FDP ring/small.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0-4 (Phase I): Immobilization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Forearm-based splint: wrist in 20-30° flexion, thumb in opposition, fingers in relaxed flexion.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active wrist extension or finger/thumb extension against resistance.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4-6 (Phase II): Protected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splint between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active finger flexion and thumb opposition (transferred muscles).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Tendon re-education.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6-8 (Phase III): Active Motion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Wean from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gentle grip and pinch activities.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8-12 (Phase IV): Strengthening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grip, pinch, and opposition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Functional activities.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Return to full activity at 4-6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Sammer DM, Chung KC. Plast Reconstr Surg, 2009; Hentz VR. J Hand Surg Eur, 2019.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