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TENDON TRANSFER FOR HIGH ULNAR NERVE PALSY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Common transfers: ECRB with graft→lateral bands (claw correction), FDS ring→ADQ/first dorsal interosseous (pinch), EIP→first dorsal interosseous (index abduction), brachioradialis or ECRL→FDP ring/small (restore DIP flexion).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0-4 (Phase I): Immobilization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Dorsal blocking splint: wrist in 20-30° extension, MCP joints in 60-70° flexion, IP joints extended.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active finger extension at MCP or active finger flexion against resistance.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4-6 (Phase II): Protected Motion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Continue splint between exercises.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gentle active MCP flexion and IP extension (anti-claw motion).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Tendon re-education exercises.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6-8 (Phase III): Active Motion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Wean from splint during daytime.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AROM.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gentle grip and pinch activities.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8-12 (Phase IV): Strengthening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Discontinue splint.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grip and pinch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Intrinsic-plus exercises.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12+: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Return to full activity at 4-6 months.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Sammer DM, Chung KC. Tendon transfers: Part II. Transfers for ulnar nerve palsy and median nerve palsy. Plast Reconstr Surg, 2009; Seiler JG et al. J Am Acad Orthop Surg, 2013.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