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TENDON TRANSFER FOR LOW MEDIAN NERVE PALSY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Common transfers: EIP→APB (Burkhalter opponensplasty), FDS ring→APB (Bunnell or Royle-Thompson), ADM→APB (Huber transfer).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0-4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Thumb spica splint: thumb in full palmar abduction and opposition, wrist in neutral.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thumb adduction or extension.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4-6 (Phase II):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splint between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thumb opposition and palmar abduction.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re-education: patient practices opposition to each fingertip.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6-8 (Phase III): Active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Wean from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pinch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8-12 (Phase IV):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pinch and opposition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activities: buttoning, writing, key turning.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full activity at 4-6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Sammer DM, Chung KC. Plast Reconstr Surg, 2009; Seiler JG et al. J Am Acad Orthop Surg, 2013.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