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TENDON TRANSFER FOR LOW ULNAR NERVE PALSY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Common transfers: FDS ring→lateral bands (Stiles-Bunnell or modified for claw correction), EIP→first dorsal interosseous, FDS→ADQ (small finger abduction), APB or FPB→adductor pollicis (Froment correction).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0-4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Dorsal blocking splint: MCP joints in 60-70° flexion, IP joints extended, wrist neutral to slight extension.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MCP extension or resisted finger flexion.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4-6 (Phase II):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splint between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MCP flexion with IP extension (intrinsic-plus position).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re-education: patient practices simultaneous MCP flexion and IP extension.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6-8 (Phase III): Active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Wean from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pinch and grip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8-12 (Phase IV):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grip, pinch, and key pinch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full activity at 4-6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Sammer DM, Chung KC. Plast Reconstr Surg, 2009; Seiler JG et al. J Am Acad Orthop Surg, 2013.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