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TENDON TRANSFER FOR RADIAL NERVE PALSY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Common transfers: PT→ECRB (wrist extension), FCR or FCU→EDC (finger extension), PL→rerouted EPL (thumb extension).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0-4 (Phase I):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Long arm splint or cast: wrist in 30-45° extension, MCP joints in 0° extension, thumb extended and abducted.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wrist flexion, finger flexion, or thumb flexion (protects transfers).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shoulder and elbow ROM permitted.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4-6 (Phase II):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removable forearm-based splint: wrist in 20-30° extension, MCP joints in neutral.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wrist extension and finger extension (transferred muscles).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tendon re-education: patient visualizes donor muscle action (e.g., "pronate to extend fingers" for PT→ECRB).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resisted wrist or finger flexion.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6-8 (Phase III): Active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Wean from splint during daytime (continue at night until 8 weeks).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active wrist and finger extension through full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flexion.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progressive resistance: putty, light weights (1-3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grasp-release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V): Return to Activity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work/sport at 4-6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Seiler JG, Desai MJ, Payne SH. Tendon transfers for radial, median, and ulnar nerve palsy. J Am Acad Orthop Surg, 2013; Hentz VR. Tendon transfers after peripheral nerve injuries: my preferred techniques. J Hand Surg Eur, 2019.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