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THUMB CMC SUSPENSIONPLASTY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0-2 (Phase I): Immobilization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Thumb spica cast or bulky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finger motion (index-small) immediately.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2-6 (Phase II): Continued Immobilization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Transition to thumb spica splint at 2-4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finger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wrist ROM at 3-4 weeks (if wrist not included in splint).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6-10 (Phase III): Early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Transition to hand-based thumb spica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thumb ROM: opposition, flexion/extension, palmar abduction.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Light pinch activities.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10-16 (Phase IV): Strengthening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pinch and grip strengthening with putty.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Functional activities.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Wear splint for heavy tasks.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16+ (Phase V):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recovery and max pinch strength at 6-12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Ataker Y et al. Rehabilitation protocol after suspension arthroplasty of thumb CMC joint osteoarthritis. J Hand Ther, 2012; Wouters RM et al. Postoperative rehabilitation following thumb base surgery: a systematic review. Arch Phys Med Rehabil, 2018.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