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ELBOW UCL CONSERVATIVE TREATMENT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 (Weeks 0-2): Acute Phase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Rest from throwing and aggravating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brace for comfort.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Ice and NSAIDs.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AROM elbow/forearm as tolerated.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 (Weeks 2-6): Recovery Phase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pain-free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isotonic exercises for forearm, wrist, and shoulder.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III (Weeks 6-12): Strengthening Phase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resistance for entire upper extremity.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Scapular stabilization.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Core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IV (Months 3-6): Return to Throwing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interval throwing program when pain-free with full strength.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gradually: flat ground → mound → competitive.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Most athletes return to competitive throwing in 3-4 months for low-grade partial tears.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Carr JB, Camp CL, Dines JS. Elbow ulnar collateral ligament injuries: indications, management, and outcomes. Arthroscopy, 2020; Putukian et al., ACSM Consensus Statement, 2026.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