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ANTERIOR SHOULDER STABILIZATION / BANKART REPAIR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1-2: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Sling: Must wear at all times except for hygiene.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No shoulder ROM. Elbow/forearm/wrist/hand motion ONLY.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external rotation past neutral for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Pendulums,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Sling: Continue wearing at all times.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True PROM only. Passive FF to 90°; ER limited to 20-30° at side (protect labral repair).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ABD with ER; No AROM/AAROM.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Pendulums, scapular exercises in sling, grip strengthening.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Discontinue sling at 6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Begin AAROM. Progress ER slowly (goal 45° by 8 weeks).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Exercises: Scapular stabilization, gentle ROM progression.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10-14 (Phase III):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Range of Motion: Progress to AROM. Gradually increase ER goal.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isometric strengthening at 10 weeks.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resistance exercises at 12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14-24 (Phase IV):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 strengthening: bands → light weights (1-5 lbs).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sport-specific training at 4-5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contact/collision sports at 6-9 months.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MMI usually at 9-12 months post-op.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Gaunt BW et al. ASSET consensus rehabilitation guideline for arthroscopic anterior capsulolabral repair. JOSPT, 2010; Wong C et al. BESS consensus recommendations for rehabilitation following arthroscopic shoulder stabilisation. Br J Sports Med, 2025.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