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DISTAL CLAVICLE ORIF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0-2: Period of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at all times except hygiene.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Elbow/wrist/hand 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Pendulums only.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shoulder motion.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PROM: FF to 90°, ABD to 60°.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cross-body adduction.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 at 4-6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6-12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AAROM progressing to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isometrics at 8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12+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sport at 4-6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Robinson CM. Fractures of the clavicle in the adult. JBJS Br, 2004.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