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LATARJET WITH REMPLISSAGE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Follow the Latarjet Protocol above with the following additional considerations: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The remplissage (infraspinatus tenodesis into the Hill-Sachs defect) does not significantly alter the rehabilitation timeline compared to isolated Latarjet.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Sling: Wear at all times except hygiene.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Pendulums permitted.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PROM: FF to 90°; ER to 20-30° at side.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biceps contraction against resistance.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2-4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sling at all times.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PROM: FF to 120°; ER to 30-40° at side.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ABD with ER.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elbow flexion against resistance until 8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4-8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sling at 4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AAROM, progress to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ER may be slightly limited compared to isolated Latarjet — progress per patient tolerance.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8-14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to full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Isometrics at 8-10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Resistance at 12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14+ (Phase IV):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Sport-specific at 4-5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Contact sports at 6-9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MMI at 9-12 months.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Some mild loss of ER (5-10°) may persist due to the remplissage component. This is generally well tolerated and does not affect return to sport.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Tansey et al., Am J Sports Med, 2025; Davis et al., Am J Sports Med, 2023.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