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LOWER TRAPEZIUS TENDON TRANSFER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0-6: Period of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with abduction pillow at all times for 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shoulder motion.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Elbow/wrist/hand ONLY.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Pendulums.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6-12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PROM, progress to AAROM.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Scapular activation exercises under therapist guidance.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Tendon re-education: patient practices scapular retraction and depression to initiate ER.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12-20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Isometrics.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resistance.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Focus on ER strengthening — the primary goal of the transfer.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20+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return at 9-12 months.</w:t>
      </w:r>
    </w:p>
    <w:p>
      <w:pPr>
        <w:spacing w:before="0" w:after="40" w:line="179" w:lineRule="exact"/>
        <w:jc w:val="left"/>
      </w:pPr>
      <w:r>
        <w:rPr>
          <w:b w:val="0"/>
          <w:i/>
          <w:sz w:val="16"/>
        </w:rPr>
        <w:t>Note: Mean return to work is approximately 5 months; return to sport approximately 6 months. Retear of the transfer is the primary risk factor for failure to return to activity.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Kim et al., Am J Sports Med, 2025 (return to work/sport after LTT — 110 patients); Chopra et al., J Shoulder Elbow Surg, 2024 (outcomes after arthroscopically assisted LTT); Clouette et al., J Shoulder Elbow Surg, 2020 (systematic review of LTT).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