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MASSIVE ROTATOR CUFF REPAIR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1-2: Period of Protection — No therapy for the first 2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Sling with abduction pillow: Must wear at all times except for hygiene.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Range of Motion: No shoulder ROM allowed. Elbow/forearm/wrist/hand motion ONLY.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Exercises: Pendulums, grip strengthening only.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Sling with abduction pillow: Must wear at all times except for hygiene.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Range of Motion: True PROM only! Massive repair requires extended protection.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Passive FF to 90°, ER to 20-30° at side; ABD max 60° without rotation.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AROM/AAROM; No canes/pulleys.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Exercises: Pendulums, scapular exercises in sling, grip strengthening, table slides.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6-10 (Phase 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sling at 6-8 weeks (surgeon discretion based on repair quality).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Range of Motion: Begin AAROM cautiously. Progress slowly from supine to upright.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Exercises: Progress Phase I exercises; no shoulder strengthening yet.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10-16 (Phase III):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Range of Motion: Progress to AROM in all planes — progress slowly!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isometric exercises at 12 weeks; no resistance until 14-16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16-24 (Phase IV):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resistance exercises with elastic band or light weights (1-3 lbs).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to full strengthening by 6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Sports-related rehab at 6+ months; MMI at 12+ months post-op.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Thigpen CA et al. ASSET consensus statement on rehabilitation following arthroscopic rotator cuff repair. J Shoulder Elbow Surg, 2016; Galatz LM et al. The outcome and repair integrity of completely arthroscopically repaired large and massive rotator cuff tears. JBJS Am, 2004.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