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MULTIDIRECTIONAL INSTABILITY (MDI)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Sling: Wear at all times except hygiene.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shoulder ROM for first 2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Elbow/forearm/wrist/hand motion ONLY.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Pendulums, 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sling at all times.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PROM at 2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ROM limited in ALL directions — protect capsular plication.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FF to 90°; ER to 20-30°; controlled ABD to 60°.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IR past neutral.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 at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PROM, begin AAROM.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FF to 120°; ER to 30-40°; controlled ABD.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10-14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isometrics.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Emphasis on scapular stabilization — critical in MDI patients.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14-20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resistance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Dynamic rotator cuff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Proprioception and perturbation training.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20+ (Phase 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Sport-specific training.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sports at 6-9 months.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MDI patients have generalized capsular laxity. Rehabilitation must emphasize dynamic stabilizers (rotator cuff and scapular muscles) and proprioception more than in traumatic instability repairs. Avoid aggressive stretching — the goal is NOT to maximize ROM but to achieve functional ROM with stability.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Hippensteel et al., JAAOS, 2023 (comprehensive review of MDI); Gruskay et al., Am J Sports Med, 2022 (arthroscopic pancapsular shift — 9-year outcomes); Watson et al., J Shoulder Elbow Surg, 2018 (conservative rehab program for MDI).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