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MULTIDIRECTIONAL INSTABILITY REPAIR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1-4: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Sling: Wear at all times except hygiene for 4-6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shoulder ROM for first 2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PROM at 2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ROM limited in all directions — protect capsular plication.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4-8 (Phase 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sling at 6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PROM, begin AAROM.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FF to 120°; ER to 30-40°; controlled ABD.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8-12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to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isometrics.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12-20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resistance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Emphasis on scapular stabilization and dynamic rotator cuff strengthening.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20+ (Phase IV):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Sport-specific training.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sports at 6-9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Neer CS, Foster CR. Inferior capsular shift for involuntary inferior and multidirectional instability of the shoulder. JBJS Am, 1980; Warby SA et al. Exercise-based management versus surgery for multidirectional instability of the glenohumeral joint. Cochrane Database Syst Rev, 2018.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