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PECTORALIS MAJOR TENDON RECONSTRUCTION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For chronic ruptures reconstructed with allograft (e.g., Achilles tendon). More conservative than primary repair due to graft revascularization requirements.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0-2: Period of Protection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Sling with arm at side, shoulder in internal rotation.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shoulder ER, extension, or horizontal ABD.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Elbow/wrist/hand ROM. Pendulums.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2-6 (Phase 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Continue sling at all times.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PROM: FF to 90°. No ER past neutral. No horizontal ABD.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resisted shoulder motion.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6-12 (Phase 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Discontinue sling at 8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AAROM.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Gradually increase ER and ABD.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resisted adduction or horizontal adduction.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12-20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AROM in all planes.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Begin isometrics at 12 weeks.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Light resistance at 16 weeks.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20+ (Phase IV):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No bench press until 7-9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return to lifting at 9-12 months.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MMI at 12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Bakshi P et al. Case report: surgical reconstruction of a complete chronic pectoralis major muscle tear. J Hand Ther, 2026; Magone K et al. Pectoralis major tendon tear: a critical analysis review. JBJS Rev, 2021.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