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ROTATOR CUFF REPAIR WITH SUBSCAPULARIS REPAIR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Follow the Rotator Cuff Repair Protocol with the following additional restrictions: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Absolutely NO active internal rotation for 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passive internal rotation behind the back for 8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ER limited to 0-20° at side for first 6 weeks (protect subscapularis repair).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IR at 8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IR strengthening not until 12-16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All other milestones follow the standard rotator cuff repair protocol.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See Rotator Cuff Repair Protocol references.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