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STERNOCLAVICULAR (SC) JOINT RECONSTRUCTION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0-6: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 at all times for 6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shoulder motion for 2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PROM at 2 weeks: FF to 90°, limited ER and ABD.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6-12: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sling.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AAROM to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Isometrics at 8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12+: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return at 6+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Bae DS, Kocher MS, Waters PM, Micheli LJ. Chronic recurrent anterior sternoclavicular joint instability. J Pediatr Orthop, 2006; Groh GI, Wirth MA. Management of traumatic sternoclavicular joint injuries. J Am Acad Orthop Surg, 2011.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