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9" w:lineRule="exact"/>
        <w:jc w:val="center"/>
      </w:pPr>
      <w:r>
        <w:rPr>
          <w:b/>
          <w:i w:val="0"/>
          <w:sz w:val="24"/>
        </w:rPr>
        <w:t>SUPERIOR LABRUM (SLAP) REPAIR PROTOCOL</w:t>
      </w:r>
    </w:p>
    <w:p>
      <w:pPr>
        <w:spacing w:before="0" w:after="20" w:line="179" w:lineRule="exact"/>
        <w:jc w:val="left"/>
      </w:pPr>
      <w:r>
        <w:rPr>
          <w:b w:val="0"/>
          <w:i w:val="0"/>
          <w:sz w:val="16"/>
        </w:rPr>
        <w:t>Name: _____________________  Diagnosis: _____________________  Date of Surgery: ____________</w:t>
      </w:r>
    </w:p>
    <w:p>
      <w:pPr>
        <w:spacing w:before="0" w:after="60" w:line="179" w:lineRule="exact"/>
        <w:jc w:val="left"/>
      </w:pPr>
      <w:r>
        <w:rPr>
          <w:b w:val="0"/>
          <w:i w:val="0"/>
          <w:sz w:val="16"/>
        </w:rPr>
        <w:t>Frequency: 2-3 times / week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1-2: Period of Protection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Sling: Must wear at all times except for hygiene.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No shoulder ROM. Elbow/forearm/wrist/hand motion ONLY.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No active biceps contraction for 6 weeks (biceps anchor is healing).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Exercises: Pendulums, grip strengthening.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2-6 (Phase I):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Continue sling.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True PROM only. FF to 90°; ER to 30° at side; No ABD with ER.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No active elbow flexion against resistance.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6-10 (Phase II):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Discontinue sling.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Begin AAROM.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Begin gentle active elbow flexion (no resistance).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10-14 (Phase III):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Progress to AROM.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Begin isometrics.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Resistance at 12 weeks.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14-24 (Phase IV):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Full strengthening.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Sport-specific training at 4-5 months.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Return to throwing at 6 months.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Contact sports at 9 months.</w:t>
      </w:r>
    </w:p>
    <w:p>
      <w:pPr>
        <w:spacing w:before="60" w:after="20" w:line="157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60" w:after="0" w:line="134" w:lineRule="exact"/>
        <w:jc w:val="left"/>
      </w:pPr>
      <w:r>
        <w:rPr>
          <w:b w:val="0"/>
          <w:i/>
          <w:sz w:val="12"/>
        </w:rPr>
        <w:t>Primary Reference: Wilk KE, Reinold MM, Dugas JR, Arrigo CA, Moser MW, Andrews JR. Current concepts in the recognition and treatment of superior labral (SLAP) lesions. J Orthop Sports Phys Ther, 2005.</w:t>
      </w:r>
    </w:p>
    <w:p>
      <w:pPr>
        <w:spacing w:before="80" w:after="0" w:line="179" w:lineRule="exact"/>
        <w:jc w:val="left"/>
      </w:pPr>
      <w:r>
        <w:rPr>
          <w:b w:val="0"/>
          <w:i w:val="0"/>
          <w:sz w:val="16"/>
        </w:rPr>
        <w:t>Signature: _____________________________ 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