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RADIAL SHORTENING OSTEOTOMY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0-2 (Phase I): Protection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Short arm splint or sugar-tong splint.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Active finger, thumb, elbow, and shoulder 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forearm rotation against resistance.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2-6 (Phase II): Early Motion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Transition to removable wrist splint.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gentle forearm rotation (supination/pronation).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Active wrist flexion/extension.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Gentle grip strengthening with putty.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6-12 (Phase III): Progressive Motion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Radiographic assessment of osteotomy healing.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 AROM.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Progressive grip and pinch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Functional activities.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12+ (Phase IV): Return to Activity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strengthening once radiographic union confirmed (typically 8-12 weeks).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Return to sport/heavy labor at 3-4 months.</w:t>
      </w:r>
    </w:p>
    <w:p>
      <w:pPr>
        <w:spacing w:before="0" w:after="40" w:line="179" w:lineRule="exact"/>
        <w:jc w:val="left"/>
      </w:pPr>
      <w:r>
        <w:rPr>
          <w:b w:val="0"/>
          <w:i/>
          <w:sz w:val="16"/>
        </w:rPr>
        <w:t>Note: Radial shortening osteotomy is less commonly performed than ulnar shortening osteotomy. Rehabilitation principles are similar. Monitor for DRUJ symptoms as relative ulnar length changes.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Baek GH et al. Radial shortening osteotomy for Kienböck disease. J Hand Surg Am, 2005.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