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SCAPHOID FRACTURE FIXATION REHABILITATION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0-6 (Phase I): Protection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Thumb spica splint or cast.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Active finger motion (excluding thumb).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6-10 (Phase II): Early Motion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Transition to removable splint.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gentle wrist and thumb 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X-ray confirmation of healing before advancing.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10-16 (Phase III): Strengthening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grip/pinch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Functional activities.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16+ (Phase IV):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activity.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Return to contact sports when radiographic union confirmed.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Dias JJ, Wildin CJ, Bhowal B, Thompson JR. Should acute scaphoid fractures be fixed? A randomized controlled trial. JBJS Am, 2005.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