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SCAPHOID NONUNION REVISION WITH MFC FREE FLAP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 (Phase I): Strict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Thumb spica splint or cast.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Strict elevation. Monitor flap perfusion per microsurgery protocol.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wrist or thumb motion.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finger motion (index-small) and shoulder/elbow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2-6 (Phase II): Continued Immobilization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Thumb spica cast or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active finger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Pin removal at 6-8 weeks if K-wires used.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6-10 (Phase III): Early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CT scan to assess union before advancing.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If union progressing: transition to removable thumb spica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wrist flexion/extension and thumb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Forearm rotation.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10-16 (Phase IV): Progressive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Gentle grip strengthening with putty.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removable splint for heavy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16+ (Phase V):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grip and pinch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contact sports when CT confirms solid union (typically 4-6 months).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Donor Site (Knee):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Weight-bearing as tolerated immediately with knee brace.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Knee ROM exercises beginning POD 1.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knee brace at 2-4 weeks.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Pulos N, Kollitz KM, Bishop AT, Shin AY. Free vascularized medial femoral condyle bone graft after failed scaphoid nonunion surgery. JBJS Am, 2018; Keller M et al. Clinical and radiological results of the vascularized MFC graft for scaphoid non-union. Arch Orthop Trauma Surg, 2020.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