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TFCC REPAIR REHABILITATION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0-4 (Phase I): Immobilization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Long-arm or sugar-tong splint/cast.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forearm rotation.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finger, elbow (flex/ext only), and shoulder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4-8 (Phase II): Early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Transition to short-arm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forearm rotation.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wrist flexion/extension.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ulnar deviation loading.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8-12 (Phase III): Progressive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Gentle grip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Avoid heavy gripping and twisting.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12+ (Phase IV): Strengthening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sport at 3-6 months.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Lee JK et al., J Hand Surg, 2026 (systematic review/meta-analysis of postoperative immobilization after foveal TFCC repair); Atzei A, Luchetti R. Foveal TFCC tear classification and treatment. Hand Clin, 2011.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Additional Rehabilitation Protocols — Tendon Transfers, Reconstructions, Fracture Fixation, Osteotomies, and Home Programs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