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ULNAR SHORTENING OSTEOTOMY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 (Phase I):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Short arm splint or sugar-tong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finger, thumb, elbow, and shoulder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forearm rotation against resistance.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2-6 (Phase II): Early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removable wrist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forearm rotation (supination/pronation).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wrist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grip strengthening with putty.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6-12 (Phase III):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Radiographic assessment of osteotomy healing.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and pinch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12+ (Phase IV): Return to Activity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 once radiographic union confirmed (typically 8-12 weeks).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sport/heavy labor at 3-4 months.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Plate-related discomfort is common; hardware removal may be considered after confirmed union (typically ≥6 months).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Papatheodorou LK et al. Long-term outcome of step-cut ulnar shortening osteotomy for ulnar impaction syndrome. JBJS Am, 2016; Teunissen JS et al. Return to usual work following an ulnar shortening osteotomy. J Hand Surg, 2022.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