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Synthèse</w:t>
      </w:r>
      <w:r>
        <w:t xml:space="preserve"> </w:t>
      </w:r>
      <w:r>
        <w:t xml:space="preserve">exécutive</w:t>
      </w:r>
    </w:p>
    <w:p>
      <w:pPr>
        <w:pStyle w:val="Subtitle"/>
      </w:pPr>
      <w:r>
        <w:t xml:space="preserve">Plateforme</w:t>
      </w:r>
      <w:r>
        <w:t xml:space="preserve"> </w:t>
      </w:r>
      <w:r>
        <w:t xml:space="preserve">SaaS</w:t>
      </w:r>
      <w:r>
        <w:t xml:space="preserve"> </w:t>
      </w:r>
      <w:r>
        <w:t xml:space="preserve">d’aide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préparation</w:t>
      </w:r>
      <w:r>
        <w:t xml:space="preserve"> </w:t>
      </w:r>
      <w:r>
        <w:t xml:space="preserve">de</w:t>
      </w:r>
      <w:r>
        <w:t xml:space="preserve"> </w:t>
      </w:r>
      <w:r>
        <w:t xml:space="preserve">dossiers</w:t>
      </w:r>
      <w:r>
        <w:t xml:space="preserve"> </w:t>
      </w:r>
      <w:r>
        <w:t xml:space="preserve">de</w:t>
      </w:r>
      <w:r>
        <w:t xml:space="preserve"> </w:t>
      </w:r>
      <w:r>
        <w:t xml:space="preserve">soumission</w:t>
      </w:r>
      <w:r>
        <w:t xml:space="preserve"> </w:t>
      </w:r>
      <w:r>
        <w:t xml:space="preserve">aux</w:t>
      </w:r>
      <w:r>
        <w:t xml:space="preserve"> </w:t>
      </w:r>
      <w:r>
        <w:t xml:space="preserve">marchés</w:t>
      </w:r>
      <w:r>
        <w:t xml:space="preserve"> </w:t>
      </w:r>
      <w:r>
        <w:t xml:space="preserve">publics</w:t>
      </w:r>
      <w:r>
        <w:t xml:space="preserve"> </w:t>
      </w:r>
      <w:r>
        <w:t xml:space="preserve">algériens</w:t>
      </w:r>
    </w:p>
    <w:p>
      <w:pPr>
        <w:pStyle w:val="Author"/>
      </w:pPr>
      <w:r>
        <w:t xml:space="preserve">Belhof</w:t>
      </w:r>
      <w:r>
        <w:t xml:space="preserve"> </w:t>
      </w:r>
      <w:r>
        <w:t xml:space="preserve">—</w:t>
      </w:r>
      <w:r>
        <w:t xml:space="preserve"> </w:t>
      </w:r>
      <w:r>
        <w:t xml:space="preserve">Fondateur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n-bref"/>
    <w:p>
      <w:pPr>
        <w:pStyle w:val="Heading1"/>
      </w:pPr>
      <w:r>
        <w:t xml:space="preserve">En bref</w:t>
      </w:r>
    </w:p>
    <w:p>
      <w:pPr>
        <w:pStyle w:val="FirstParagraph"/>
      </w:pPr>
      <w:r>
        <w:rPr>
          <w:bCs/>
          <w:b/>
        </w:rPr>
        <w:t xml:space="preserve">SOUMISSION.DZ</w:t>
      </w:r>
      <w:r>
        <w:t xml:space="preserve"> </w:t>
      </w:r>
      <w:r>
        <w:t xml:space="preserve">est une plateforme SaaS qui aide les entreprises algériennes à préparer sans erreur leurs dossiers de soumission aux marchés publics. L’outil résout un pain point confirmé par 10 prospects interrogés en présentiel :</w:t>
      </w:r>
      <w:r>
        <w:t xml:space="preserve"> </w:t>
      </w:r>
      <w:r>
        <w:rPr>
          <w:bCs/>
          <w:b/>
        </w:rPr>
        <w:t xml:space="preserve">ne pas perdre un appel d’offres pour une erreur de processus</w:t>
      </w:r>
      <w:r>
        <w:t xml:space="preserve"> </w:t>
      </w:r>
      <w:r>
        <w:t xml:space="preserve">(document expiré, pièce manquante, caution oubliée, mauvaise mise en forme).</w:t>
      </w:r>
    </w:p>
    <w:p>
      <w:pPr>
        <w:pStyle w:val="BodyText"/>
      </w:pPr>
      <w:r>
        <w:t xml:space="preserve">La v5.0 est une</w:t>
      </w:r>
      <w:r>
        <w:t xml:space="preserve"> </w:t>
      </w:r>
      <w:r>
        <w:rPr>
          <w:bCs/>
          <w:b/>
        </w:rPr>
        <w:t xml:space="preserve">réécriture complète from scratch</w:t>
      </w:r>
      <w:r>
        <w:t xml:space="preserve"> </w:t>
      </w:r>
      <w:r>
        <w:t xml:space="preserve">de la v4.0 Lot 1g, menée pour aligner l’architecture sur le modèle produit à 3 cas d’usage validé en avril 2026 (document 09 de cadrage).</w:t>
      </w:r>
    </w:p>
    <w:bookmarkEnd w:id="20"/>
    <w:bookmarkStart w:id="21" w:name="validation-marché"/>
    <w:p>
      <w:pPr>
        <w:pStyle w:val="Heading1"/>
      </w:pPr>
      <w:r>
        <w:t xml:space="preserve">Validation marché</w:t>
      </w:r>
    </w:p>
    <w:p>
      <w:pPr>
        <w:pStyle w:val="FirstParagraph"/>
      </w:pPr>
      <w:r>
        <w:t xml:space="preserve">Sur 10 prospects interrogés,</w:t>
      </w:r>
      <w:r>
        <w:t xml:space="preserve"> </w:t>
      </w:r>
      <w:r>
        <w:rPr>
          <w:bCs/>
          <w:b/>
        </w:rPr>
        <w:t xml:space="preserve">6 sont au niveau d’engagement 3 ou 4</w:t>
      </w:r>
      <w:r>
        <w:t xml:space="preserve"> </w:t>
      </w:r>
      <w:r>
        <w:t xml:space="preserve">(Lettre d’Intention ou pilote payant).</w:t>
      </w:r>
      <w:r>
        <w:t xml:space="preserve"> </w:t>
      </w:r>
      <w:r>
        <w:rPr>
          <w:bCs/>
          <w:b/>
        </w:rPr>
        <w:t xml:space="preserve">4 LOI signables</w:t>
      </w:r>
      <w:r>
        <w:t xml:space="preserve"> </w:t>
      </w:r>
      <w:r>
        <w:t xml:space="preserve">identifiées :</w:t>
      </w:r>
    </w:p>
    <w:p>
      <w:pPr>
        <w:numPr>
          <w:ilvl w:val="0"/>
          <w:numId w:val="1001"/>
        </w:numPr>
        <w:pStyle w:val="Compact"/>
      </w:pPr>
      <w:r>
        <w:t xml:space="preserve">Brahim (BTPH Sidi Bel Abbès) — Cas 1</w:t>
      </w:r>
    </w:p>
    <w:p>
      <w:pPr>
        <w:numPr>
          <w:ilvl w:val="0"/>
          <w:numId w:val="1001"/>
        </w:numPr>
        <w:pStyle w:val="Compact"/>
      </w:pPr>
      <w:r>
        <w:t xml:space="preserve">Kamel (BTPH Sétif, 85 employés) — Cas 1</w:t>
      </w:r>
    </w:p>
    <w:p>
      <w:pPr>
        <w:numPr>
          <w:ilvl w:val="0"/>
          <w:numId w:val="1001"/>
        </w:numPr>
        <w:pStyle w:val="Compact"/>
      </w:pPr>
      <w:r>
        <w:t xml:space="preserve">Mourad (consultant multi-clients) — Cas 2</w:t>
      </w:r>
    </w:p>
    <w:p>
      <w:pPr>
        <w:numPr>
          <w:ilvl w:val="0"/>
          <w:numId w:val="1001"/>
        </w:numPr>
        <w:pStyle w:val="Compact"/>
      </w:pPr>
      <w:r>
        <w:t xml:space="preserve">Omar (producteur agricole Sud, Ghardaïa) — Cas 1 avec recours ponctuel au Cas 3</w:t>
      </w:r>
    </w:p>
    <w:bookmarkEnd w:id="21"/>
    <w:bookmarkStart w:id="22" w:name="modèle-économique"/>
    <w:p>
      <w:pPr>
        <w:pStyle w:val="Heading1"/>
      </w:pPr>
      <w:r>
        <w:t xml:space="preserve">Modèle économique</w:t>
      </w:r>
    </w:p>
    <w:p>
      <w:pPr>
        <w:pStyle w:val="FirstParagraph"/>
      </w:pPr>
      <w:r>
        <w:t xml:space="preserve">Six plans tarifaires validés par le marché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mensuel (DA)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(14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TPE 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 5–30 employés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 30+, multi-utilisateurs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Consultants multi-clients (Cas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 support (tous plans)</w:t>
            </w:r>
          </w:p>
        </w:tc>
      </w:tr>
    </w:tbl>
    <w:p>
      <w:pPr>
        <w:pStyle w:val="BodyText"/>
      </w:pPr>
      <w:r>
        <w:t xml:space="preserve">Complément :</w:t>
      </w:r>
      <w:r>
        <w:t xml:space="preserve"> </w:t>
      </w:r>
      <w:r>
        <w:rPr>
          <w:bCs/>
          <w:b/>
        </w:rPr>
        <w:t xml:space="preserve">mode à l’acte 5 000 DA/dossier</w:t>
      </w:r>
      <w:r>
        <w:t xml:space="preserve">. Service d’assistance Cas 3 à la prestation (catalogue de 7 prestations de 8 000 à 65 000 DA).</w:t>
      </w:r>
    </w:p>
    <w:bookmarkEnd w:id="22"/>
    <w:bookmarkStart w:id="23" w:name="état-actuel-du-produit-v5.0-complète"/>
    <w:p>
      <w:pPr>
        <w:pStyle w:val="Heading1"/>
      </w:pPr>
      <w:r>
        <w:t xml:space="preserve">État actuel du produit — v5.0 complète</w:t>
      </w:r>
    </w:p>
    <w:p>
      <w:pPr>
        <w:pStyle w:val="FirstParagraph"/>
      </w:pPr>
      <w:r>
        <w:t xml:space="preserve">La v5.0 livre les</w:t>
      </w:r>
      <w:r>
        <w:t xml:space="preserve"> </w:t>
      </w:r>
      <w:r>
        <w:rPr>
          <w:bCs/>
          <w:b/>
        </w:rPr>
        <w:t xml:space="preserve">9 lots</w:t>
      </w:r>
      <w:r>
        <w:t xml:space="preserve"> </w:t>
      </w:r>
      <w:r>
        <w:t xml:space="preserve">du mega-prompt de réécriture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"/>
        <w:gridCol w:w="76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Fondation : modèle 3 tenants, JWT, signup 3 profils,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Coffre-fort (15 types officiels) + références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+ import PDF + audit 25 règles + simulateur 35 prix + templates +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dossiers + workflow 3 niveaux + cautions + historique soumissions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Cas 2 : portefeuille N entreprises + comparateur inter-entreprises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3 assistance : mandat + mission + messagerie + journal + affectation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Monétisation : plans + abos + factures PDF + parrainage + hotline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loi 18-07 : page, consentement, export, soft-delete, purge J+30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Installateur desktop PySide6 (wizard + tray + backup/restore)</w:t>
            </w:r>
          </w:p>
        </w:tc>
      </w:tr>
    </w:tbl>
    <w:p>
      <w:pPr>
        <w:pStyle w:val="BodyText"/>
      </w:pPr>
      <w:r>
        <w:rPr>
          <w:bCs/>
          <w:b/>
        </w:rPr>
        <w:t xml:space="preserve">Chiffres clés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~70 endpoints API</w:t>
      </w:r>
      <w:r>
        <w:t xml:space="preserve"> </w:t>
      </w:r>
      <w:r>
        <w:t xml:space="preserve">protégés par authentification JWT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110 tests pytest verts</w:t>
      </w:r>
      <w:r>
        <w:t xml:space="preserve"> </w:t>
      </w:r>
      <w:r>
        <w:t xml:space="preserve">dont 13+ tests d’isolation cross-tenant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 migrations Alembic</w:t>
      </w:r>
      <w:r>
        <w:t xml:space="preserve"> </w:t>
      </w:r>
      <w:r>
        <w:t xml:space="preserve">appliquées depuis la base vierge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Architecture 3 tenants distincts</w:t>
      </w:r>
      <w:r>
        <w:t xml:space="preserve"> </w:t>
      </w:r>
      <w:r>
        <w:t xml:space="preserve">: Entreprise autonome, Cabinet multi-entreprises, Plateforme (assistants)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 SPA vanilla JS</w:t>
      </w:r>
      <w:r>
        <w:t xml:space="preserve"> </w:t>
      </w:r>
      <w:r>
        <w:t xml:space="preserve">sans build step : login, dashboard, coffre, références, AO+audit, chiffrage, kanban, assistance, facturation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Installateur PySide6</w:t>
      </w:r>
      <w:r>
        <w:t xml:space="preserve"> </w:t>
      </w:r>
      <w:r>
        <w:t xml:space="preserve">avec wizard, fenêtre de gestion, system tray, backup/restore ZIP, PyInstaller spec pour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autonome</w:t>
      </w:r>
    </w:p>
    <w:p>
      <w:pPr>
        <w:pStyle w:val="FirstParagraph"/>
      </w:pPr>
      <w:r>
        <w:t xml:space="preserve">Le produit est techniquement</w:t>
      </w:r>
      <w:r>
        <w:t xml:space="preserve"> </w:t>
      </w:r>
      <w:r>
        <w:rPr>
          <w:bCs/>
          <w:b/>
        </w:rPr>
        <w:t xml:space="preserve">prêt à accueillir les 4 pilotes payants</w:t>
      </w:r>
      <w:r>
        <w:t xml:space="preserve"> </w:t>
      </w:r>
      <w:r>
        <w:t xml:space="preserve">identifiés.</w:t>
      </w:r>
    </w:p>
    <w:bookmarkEnd w:id="23"/>
    <w:bookmarkStart w:id="24" w:name="base-de-démonstration-pré-peuplée"/>
    <w:p>
      <w:pPr>
        <w:pStyle w:val="Heading1"/>
      </w:pPr>
      <w:r>
        <w:t xml:space="preserve">Base de démonstration pré-peuplée</w:t>
      </w:r>
    </w:p>
    <w:p>
      <w:pPr>
        <w:pStyle w:val="FirstParagraph"/>
      </w:pPr>
      <w:r>
        <w:t xml:space="preserve">Après</w:t>
      </w:r>
      <w:r>
        <w:t xml:space="preserve"> </w:t>
      </w:r>
      <w:r>
        <w:rPr>
          <w:rStyle w:val="VerbatimChar"/>
        </w:rPr>
        <w:t xml:space="preserve">python bootstrap.py</w:t>
      </w:r>
      <w:r>
        <w:t xml:space="preserve">, la base simule</w:t>
      </w:r>
      <w:r>
        <w:t xml:space="preserve"> </w:t>
      </w:r>
      <w:r>
        <w:rPr>
          <w:bCs/>
          <w:b/>
        </w:rPr>
        <w:t xml:space="preserve">2 mois d’activité d’une plateforme en production</w:t>
      </w:r>
      <w:r>
        <w:t xml:space="preserve"> 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8 entreprises clientes (5 Cas 1 + 3 sous gestion Cabinet Mourad)</w:t>
      </w:r>
    </w:p>
    <w:p>
      <w:pPr>
        <w:numPr>
          <w:ilvl w:val="0"/>
          <w:numId w:val="1003"/>
        </w:numPr>
        <w:pStyle w:val="Compact"/>
      </w:pPr>
      <w:r>
        <w:t xml:space="preserve">2 assistants agréés (Yacine BTPH/VRD, Samira fournitures/services)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 appels d’offres</w:t>
      </w:r>
      <w:r>
        <w:t xml:space="preserve"> </w:t>
      </w:r>
      <w:r>
        <w:t xml:space="preserve">: 12 gagnés / 6 perdus / 2 en cours (≈ 60 % de gain)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~615 millions DA</w:t>
      </w:r>
      <w:r>
        <w:t xml:space="preserve"> </w:t>
      </w:r>
      <w:r>
        <w:t xml:space="preserve">de CA cumulé sur les marchés gagnés</w:t>
      </w:r>
    </w:p>
    <w:p>
      <w:pPr>
        <w:numPr>
          <w:ilvl w:val="0"/>
          <w:numId w:val="1003"/>
        </w:numPr>
        <w:pStyle w:val="Compact"/>
      </w:pPr>
      <w:r>
        <w:t xml:space="preserve">102 documents dans les coffres, 33 références historiques</w:t>
      </w:r>
    </w:p>
    <w:p>
      <w:pPr>
        <w:numPr>
          <w:ilvl w:val="0"/>
          <w:numId w:val="1003"/>
        </w:numPr>
        <w:pStyle w:val="Compact"/>
      </w:pPr>
      <w:r>
        <w:t xml:space="preserve">32 cautions bancaires actives/récupérées (4 banques : BNA, CPA, BDL, BEA)</w:t>
      </w:r>
    </w:p>
    <w:p>
      <w:pPr>
        <w:numPr>
          <w:ilvl w:val="0"/>
          <w:numId w:val="1003"/>
        </w:numPr>
        <w:pStyle w:val="Compact"/>
      </w:pPr>
      <w:r>
        <w:t xml:space="preserve">18 factures SOUMISSION.DZ émises (dont 12 payées)</w:t>
      </w:r>
    </w:p>
    <w:p>
      <w:pPr>
        <w:numPr>
          <w:ilvl w:val="0"/>
          <w:numId w:val="1003"/>
        </w:numPr>
        <w:pStyle w:val="Compact"/>
      </w:pPr>
      <w:r>
        <w:t xml:space="preserve">4 missions Cas 3 dans différents états</w:t>
      </w:r>
    </w:p>
    <w:p>
      <w:pPr>
        <w:numPr>
          <w:ilvl w:val="0"/>
          <w:numId w:val="1003"/>
        </w:numPr>
        <w:pStyle w:val="Compact"/>
      </w:pPr>
      <w:r>
        <w:t xml:space="preserve">8 tickets hotline, 6 codes de parrainage</w:t>
      </w:r>
    </w:p>
    <w:p>
      <w:pPr>
        <w:pStyle w:val="FirstParagraph"/>
      </w:pPr>
      <w:r>
        <w:t xml:space="preserve">Comptes de démonstration fournis :</w:t>
      </w:r>
      <w:r>
        <w:t xml:space="preserve"> </w:t>
      </w:r>
      <w:r>
        <w:rPr>
          <w:rStyle w:val="VerbatimChar"/>
        </w:rPr>
        <w:t xml:space="preserve">admin@soumission.dz / Admin12345</w:t>
      </w:r>
      <w:r>
        <w:t xml:space="preserve">,</w:t>
      </w:r>
      <w:r>
        <w:t xml:space="preserve"> </w:t>
      </w:r>
      <w:r>
        <w:rPr>
          <w:rStyle w:val="VerbatimChar"/>
        </w:rPr>
        <w:t xml:space="preserve">brahim@alpha-btph.dz / Demo12345</w:t>
      </w:r>
      <w:r>
        <w:t xml:space="preserve">,</w:t>
      </w:r>
      <w:r>
        <w:t xml:space="preserve"> </w:t>
      </w:r>
      <w:r>
        <w:rPr>
          <w:rStyle w:val="VerbatimChar"/>
        </w:rPr>
        <w:t xml:space="preserve">mourad@cabinet-mourad.dz / Demo12345</w:t>
      </w:r>
      <w:r>
        <w:t xml:space="preserve">,</w:t>
      </w:r>
      <w:r>
        <w:t xml:space="preserve"> </w:t>
      </w:r>
      <w:r>
        <w:rPr>
          <w:rStyle w:val="VerbatimChar"/>
        </w:rPr>
        <w:t xml:space="preserve">yacine.assistant@soumission.dz / Demo12345</w:t>
      </w:r>
      <w:r>
        <w:t xml:space="preserve">, etc.</w:t>
      </w:r>
    </w:p>
    <w:bookmarkEnd w:id="24"/>
    <w:bookmarkStart w:id="25" w:name="installation"/>
    <w:p>
      <w:pPr>
        <w:pStyle w:val="Heading1"/>
      </w:pPr>
      <w:r>
        <w:t xml:space="preserve">Installation</w:t>
      </w:r>
    </w:p>
    <w:p>
      <w:pPr>
        <w:pStyle w:val="FirstParagraph"/>
      </w:pPr>
      <w:r>
        <w:rPr>
          <w:bCs/>
          <w:b/>
        </w:rPr>
        <w:t xml:space="preserve">Option 1 — installateur graphique (pilotes) :</w:t>
      </w:r>
      <w:r>
        <w:t xml:space="preserve"> </w:t>
      </w:r>
      <w:r>
        <w:t xml:space="preserve">double-clic sur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(Windows) ou</w:t>
      </w:r>
      <w:r>
        <w:t xml:space="preserve"> </w:t>
      </w:r>
      <w:r>
        <w:rPr>
          <w:rStyle w:val="VerbatimChar"/>
        </w:rPr>
        <w:t xml:space="preserve">bash setup.sh</w:t>
      </w:r>
      <w:r>
        <w:t xml:space="preserve"> </w:t>
      </w:r>
      <w:r>
        <w:t xml:space="preserve">(Linux/macOS). Wizard 5 étapes, configuration zero-conf (SQLite, aucun serveur externe), création de l’icône système.</w:t>
      </w:r>
    </w:p>
    <w:p>
      <w:pPr>
        <w:pStyle w:val="BodyText"/>
      </w:pPr>
      <w:r>
        <w:rPr>
          <w:bCs/>
          <w:b/>
        </w:rPr>
        <w:t xml:space="preserve">Option 2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.exe</w:t>
      </w:r>
      <w:r>
        <w:rPr>
          <w:bCs/>
          <w:b/>
        </w:rPr>
        <w:t xml:space="preserve"> </w:t>
      </w:r>
      <w:r>
        <w:rPr>
          <w:bCs/>
          <w:b/>
        </w:rPr>
        <w:t xml:space="preserve">autonome :</w:t>
      </w:r>
      <w:r>
        <w:t xml:space="preserve"> </w:t>
      </w:r>
      <w:r>
        <w:rPr>
          <w:rStyle w:val="VerbatimChar"/>
        </w:rPr>
        <w:t xml:space="preserve">pyinstaller installer/build.spec</w:t>
      </w:r>
      <w:r>
        <w:t xml:space="preserve"> </w:t>
      </w:r>
      <w:r>
        <w:t xml:space="preserve">produit un binaire ~50 Mo distribuable à un pilote sans Python installé.</w:t>
      </w:r>
    </w:p>
    <w:p>
      <w:pPr>
        <w:pStyle w:val="BodyText"/>
      </w:pPr>
      <w:r>
        <w:rPr>
          <w:bCs/>
          <w:b/>
        </w:rPr>
        <w:t xml:space="preserve">Option 3 — bootstrap CLI (développeurs) :</w:t>
      </w:r>
      <w:r>
        <w:t xml:space="preserve"> </w:t>
      </w:r>
      <w:r>
        <w:rPr>
          <w:rStyle w:val="VerbatimChar"/>
        </w:rPr>
        <w:t xml:space="preserve">python bootstrap.py &amp;&amp; uvicorn app.main:app</w:t>
      </w:r>
      <w:r>
        <w:t xml:space="preserve">.</w:t>
      </w:r>
    </w:p>
    <w:bookmarkEnd w:id="25"/>
    <w:bookmarkStart w:id="26" w:name="différences-vs-v4.0"/>
    <w:p>
      <w:pPr>
        <w:pStyle w:val="Heading1"/>
      </w:pPr>
      <w:r>
        <w:t xml:space="preserve">Différences vs v4.0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848"/>
        <w:gridCol w:w="4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 Lot 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Organisation+Client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tenants : Entreprise, Cabinet, 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2 (consultant)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supporté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Portefeuille N entreprises + comparateur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3 (assistance)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supporté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complet mandat + mission + messagerie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Monétisation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implémentée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plans + factures PDF + parrainage + hotline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 loi 18-07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implémentée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+ consentement + export + soft-delete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create_all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d’emblée, 4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2 sur tous les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implémenté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vanilla JS complète (7 écrans)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Manuelle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Installateur desktop + .exe Windows autonome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par défaut (PostgreSQL optionnel)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 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Zéro Docker</w:t>
            </w:r>
          </w:p>
        </w:tc>
      </w:tr>
    </w:tbl>
    <w:bookmarkEnd w:id="26"/>
    <w:bookmarkStart w:id="27" w:name="prochaine-étape-concrète"/>
    <w:p>
      <w:pPr>
        <w:pStyle w:val="Heading1"/>
      </w:pPr>
      <w:r>
        <w:t xml:space="preserve">Prochaine étape concrète</w:t>
      </w:r>
    </w:p>
    <w:p>
      <w:pPr>
        <w:pStyle w:val="FirstParagraph"/>
      </w:pPr>
      <w:r>
        <w:t xml:space="preserve">Le travail de développement v5.0 est</w:t>
      </w:r>
      <w:r>
        <w:t xml:space="preserve"> </w:t>
      </w:r>
      <w:r>
        <w:rPr>
          <w:bCs/>
          <w:b/>
        </w:rPr>
        <w:t xml:space="preserve">terminé</w:t>
      </w:r>
      <w:r>
        <w:t xml:space="preserve">. Les prochaines étapes sont d’ordre commercial et opérationnel :</w:t>
      </w:r>
    </w:p>
    <w:p>
      <w:pPr>
        <w:numPr>
          <w:ilvl w:val="0"/>
          <w:numId w:val="1004"/>
        </w:numPr>
        <w:pStyle w:val="Compact"/>
      </w:pPr>
      <w:r>
        <w:t xml:space="preserve">Signer les 4 LOI identifiées (Brahim, Kamel, Mourad, Omar)</w:t>
      </w:r>
    </w:p>
    <w:p>
      <w:pPr>
        <w:numPr>
          <w:ilvl w:val="0"/>
          <w:numId w:val="1004"/>
        </w:numPr>
        <w:pStyle w:val="Compact"/>
      </w:pPr>
      <w:r>
        <w:t xml:space="preserve">Packager l’</w:t>
      </w:r>
      <w:r>
        <w:rPr>
          <w:rStyle w:val="VerbatimChar"/>
        </w:rPr>
        <w:t xml:space="preserve">.exe</w:t>
      </w:r>
      <w:r>
        <w:t xml:space="preserve"> </w:t>
      </w:r>
      <w:r>
        <w:t xml:space="preserve">Windows et le distribuer aux 4 pilotes</w:t>
      </w:r>
    </w:p>
    <w:p>
      <w:pPr>
        <w:numPr>
          <w:ilvl w:val="0"/>
          <w:numId w:val="1004"/>
        </w:numPr>
        <w:pStyle w:val="Compact"/>
      </w:pPr>
      <w:r>
        <w:t xml:space="preserve">Agréger les retours sur 8-12 semaines d’usage réel</w:t>
      </w:r>
    </w:p>
    <w:p>
      <w:pPr>
        <w:numPr>
          <w:ilvl w:val="0"/>
          <w:numId w:val="1004"/>
        </w:numPr>
        <w:pStyle w:val="Compact"/>
      </w:pPr>
      <w:r>
        <w:t xml:space="preserve">Décider de l’hébergement cloud Algérie (Icosnet / Algérie Télécom / Djaweb) quand le volume le justifiera</w:t>
      </w:r>
    </w:p>
    <w:bookmarkEnd w:id="27"/>
    <w:bookmarkStart w:id="28" w:name="contraintes-non-négociables"/>
    <w:p>
      <w:pPr>
        <w:pStyle w:val="Heading1"/>
      </w:pPr>
      <w:r>
        <w:t xml:space="preserve">Contraintes non-négociables</w:t>
      </w:r>
    </w:p>
    <w:p>
      <w:pPr>
        <w:numPr>
          <w:ilvl w:val="0"/>
          <w:numId w:val="1005"/>
        </w:numPr>
        <w:pStyle w:val="Compact"/>
      </w:pPr>
      <w:r>
        <w:t xml:space="preserve">Hébergement en</w:t>
      </w:r>
      <w:r>
        <w:t xml:space="preserve"> </w:t>
      </w:r>
      <w:r>
        <w:rPr>
          <w:bCs/>
          <w:b/>
        </w:rPr>
        <w:t xml:space="preserve">cloud Algérie</w:t>
      </w:r>
      <w:r>
        <w:t xml:space="preserve"> </w:t>
      </w:r>
      <w:r>
        <w:t xml:space="preserve">(Icosnet, Algérie Télécom ou Djaweb) quand la plateforme passera en mode hébergé (la v5.0 est actuellement en mode pilote local sur poste client)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 d’IA/LLM</w:t>
      </w:r>
      <w:r>
        <w:t xml:space="preserve"> </w:t>
      </w:r>
      <w:r>
        <w:t xml:space="preserve">dans la v5.0 (reporté en v6)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 d’arabe</w:t>
      </w:r>
      <w:r>
        <w:t xml:space="preserve"> </w:t>
      </w:r>
      <w:r>
        <w:t xml:space="preserve">dans l’interface (0 prospect sur 10 l’a demandé)</w:t>
      </w:r>
    </w:p>
    <w:p>
      <w:pPr>
        <w:numPr>
          <w:ilvl w:val="0"/>
          <w:numId w:val="1005"/>
        </w:numPr>
        <w:pStyle w:val="Compact"/>
      </w:pPr>
      <w:r>
        <w:t xml:space="preserve">Conformité</w:t>
      </w:r>
      <w:r>
        <w:t xml:space="preserve"> </w:t>
      </w:r>
      <w:r>
        <w:rPr>
          <w:bCs/>
          <w:b/>
        </w:rPr>
        <w:t xml:space="preserve">loi 18-07</w:t>
      </w:r>
      <w:r>
        <w:t xml:space="preserve"> </w:t>
      </w:r>
      <w:r>
        <w:t xml:space="preserve">: page</w:t>
      </w:r>
      <w:r>
        <w:t xml:space="preserve"> </w:t>
      </w:r>
      <w:r>
        <w:rPr>
          <w:rStyle w:val="VerbatimChar"/>
        </w:rPr>
        <w:t xml:space="preserve">/confidentialite</w:t>
      </w:r>
      <w:r>
        <w:t xml:space="preserve">, consentement horodaté, export ZIP, soft-delete J+30 — tout implémenté</w:t>
      </w:r>
    </w:p>
    <w:p>
      <w:pPr>
        <w:numPr>
          <w:ilvl w:val="0"/>
          <w:numId w:val="1005"/>
        </w:numPr>
        <w:pStyle w:val="Compact"/>
      </w:pPr>
      <w:r>
        <w:t xml:space="preserve">Fiscalité : mentions NIF / NIS / RC / TVA 19 % — implémenté dans les factures PDF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Synthèse exécutive</dc:title>
  <dc:creator>Belhof — Fondateur</dc:creator>
  <cp:keywords/>
  <dcterms:created xsi:type="dcterms:W3CDTF">2026-04-13T18:36:17Z</dcterms:created>
  <dcterms:modified xsi:type="dcterms:W3CDTF">2026-04-13T18:36:17Z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Plateforme SaaS d’aide à la préparation de dossiers de soumission aux marchés publics algériens</vt:lpwstr>
  </property>
</Properties>
</file>