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SOUMISSION.DZ</w:t>
      </w:r>
      <w:r>
        <w:t xml:space="preserve"> </w:t>
      </w:r>
      <w:r>
        <w:t xml:space="preserve">—</w:t>
      </w:r>
      <w:r>
        <w:t xml:space="preserve"> </w:t>
      </w:r>
      <w:r>
        <w:t xml:space="preserve">Architecture</w:t>
      </w:r>
      <w:r>
        <w:t xml:space="preserve"> </w:t>
      </w:r>
      <w:r>
        <w:t xml:space="preserve">technique</w:t>
      </w:r>
      <w:r>
        <w:t xml:space="preserve"> </w:t>
      </w:r>
      <w:r>
        <w:t xml:space="preserve">v5.0</w:t>
      </w:r>
    </w:p>
    <w:p>
      <w:pPr>
        <w:pStyle w:val="Subtitle"/>
      </w:pPr>
      <w:r>
        <w:t xml:space="preserve">Modèle</w:t>
      </w:r>
      <w:r>
        <w:t xml:space="preserve"> </w:t>
      </w:r>
      <w:r>
        <w:t xml:space="preserve">à</w:t>
      </w:r>
      <w:r>
        <w:t xml:space="preserve"> </w:t>
      </w:r>
      <w:r>
        <w:t xml:space="preserve">3</w:t>
      </w:r>
      <w:r>
        <w:t xml:space="preserve"> </w:t>
      </w:r>
      <w:r>
        <w:t xml:space="preserve">tenants,</w:t>
      </w:r>
      <w:r>
        <w:t xml:space="preserve"> </w:t>
      </w:r>
      <w:r>
        <w:t xml:space="preserve">couches</w:t>
      </w:r>
      <w:r>
        <w:t xml:space="preserve"> </w:t>
      </w:r>
      <w:r>
        <w:t xml:space="preserve">applicatives,</w:t>
      </w:r>
      <w:r>
        <w:t xml:space="preserve"> </w:t>
      </w:r>
      <w:r>
        <w:t xml:space="preserve">sécurité</w:t>
      </w:r>
      <w:r>
        <w:t xml:space="preserve"> </w:t>
      </w:r>
      <w:r>
        <w:t xml:space="preserve">par</w:t>
      </w:r>
      <w:r>
        <w:t xml:space="preserve"> </w:t>
      </w:r>
      <w:r>
        <w:t xml:space="preserve">construction</w:t>
      </w:r>
    </w:p>
    <w:p>
      <w:pPr>
        <w:pStyle w:val="Author"/>
      </w:pPr>
      <w:r>
        <w:t xml:space="preserve">Équipe</w:t>
      </w:r>
      <w:r>
        <w:t xml:space="preserve"> </w:t>
      </w:r>
      <w:r>
        <w:t xml:space="preserve">SOUMISSION.DZ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5.0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rincipes-directeurs"/>
    <w:p>
      <w:pPr>
        <w:pStyle w:val="Heading1"/>
      </w:pPr>
      <w:r>
        <w:t xml:space="preserve">Principes directeurs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Monolithe FastAPI</w:t>
      </w:r>
      <w:r>
        <w:t xml:space="preserve"> </w:t>
      </w:r>
      <w:r>
        <w:t xml:space="preserve">— pas de microservices (prématuré)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 tenants distincts</w:t>
      </w:r>
      <w:r>
        <w:t xml:space="preserve"> </w:t>
      </w:r>
      <w:r>
        <w:t xml:space="preserve">avec isolation forte (Entreprise, Cabinet, Plateforme)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SQLite par défaut, PostgreSQL optionnel</w:t>
      </w:r>
      <w:r>
        <w:t xml:space="preserve"> </w:t>
      </w:r>
      <w:r>
        <w:t xml:space="preserve">— modèles 100 % portables, zéro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 </w:t>
      </w:r>
      <w:r>
        <w:t xml:space="preserve">spécifique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Zéro Docker</w:t>
      </w:r>
      <w:r>
        <w:t xml:space="preserve"> </w:t>
      </w:r>
      <w:r>
        <w:t xml:space="preserve">— installation native, déployable sur cloud Algérie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 SPA vanilla JS</w:t>
      </w:r>
      <w:r>
        <w:t xml:space="preserve"> </w:t>
      </w:r>
      <w:r>
        <w:t xml:space="preserve">— pas de build step, pas de node_modules, servi comme static files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Sécurité par construction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Depends(get_current_context)</w:t>
      </w:r>
      <w:r>
        <w:t xml:space="preserve"> </w:t>
      </w:r>
      <w:r>
        <w:t xml:space="preserve">obligatoire, scoping automatique, payloads nettoyés</w:t>
      </w:r>
    </w:p>
    <w:bookmarkEnd w:id="20"/>
    <w:bookmarkStart w:id="21" w:name="couches-applicatives"/>
    <w:p>
      <w:pPr>
        <w:pStyle w:val="Heading1"/>
      </w:pPr>
      <w:r>
        <w:t xml:space="preserve">Couches applicatives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Static SPA (vanilla JS, 7 écrans)              │</w:t>
      </w:r>
      <w:r>
        <w:br/>
      </w:r>
      <w:r>
        <w:rPr>
          <w:rStyle w:val="VerbatimChar"/>
        </w:rPr>
        <w:t xml:space="preserve">│  static/index.html + app.css + app.js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 fetch() + JWT Bearer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FastAPI — 16 routers, ~70 endpoints            │</w:t>
      </w:r>
      <w:r>
        <w:br/>
      </w:r>
      <w:r>
        <w:rPr>
          <w:rStyle w:val="VerbatimChar"/>
        </w:rPr>
        <w:t xml:space="preserve">│  app/routers/*.py         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 Depends(get_current_context)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Services métier (pas d'accès direct DB)        │</w:t>
      </w:r>
      <w:r>
        <w:br/>
      </w:r>
      <w:r>
        <w:rPr>
          <w:rStyle w:val="VerbatimChar"/>
        </w:rPr>
        <w:t xml:space="preserve">│  pdf_extractor, rules_engine, catalogue_seed,   │</w:t>
      </w:r>
      <w:r>
        <w:br/>
      </w:r>
      <w:r>
        <w:rPr>
          <w:rStyle w:val="VerbatimChar"/>
        </w:rPr>
        <w:t xml:space="preserve">│  docx_generator          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 ORM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SQLAlchemy 2.x Core + ORM                      │</w:t>
      </w:r>
      <w:r>
        <w:br/>
      </w:r>
      <w:r>
        <w:rPr>
          <w:rStyle w:val="VerbatimChar"/>
        </w:rPr>
        <w:t xml:space="preserve">│  app/models/*.py         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SQLite (défaut) ou PostgreSQL 16 (optionnel)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21"/>
    <w:bookmarkStart w:id="26" w:name="modèle-à-3-tenants"/>
    <w:p>
      <w:pPr>
        <w:pStyle w:val="Heading1"/>
      </w:pPr>
      <w:r>
        <w:t xml:space="preserve">Modèle à 3 tenants</w:t>
      </w:r>
    </w:p>
    <w:p>
      <w:pPr>
        <w:pStyle w:val="FirstParagraph"/>
      </w:pPr>
      <w:r>
        <w:t xml:space="preserve">Les 3 cas d’usage du document 09 se traduisent en 3 types d’organisations, chacune avec sa logique de scoping.</w:t>
      </w:r>
    </w:p>
    <w:bookmarkStart w:id="22" w:name="cas-1-entreprise-autonome"/>
    <w:p>
      <w:pPr>
        <w:pStyle w:val="Heading2"/>
      </w:pPr>
      <w:r>
        <w:t xml:space="preserve">Cas 1 — Entreprise autonome</w:t>
      </w:r>
    </w:p>
    <w:p>
      <w:pPr>
        <w:pStyle w:val="SourceCode"/>
      </w:pPr>
      <w:r>
        <w:rPr>
          <w:rStyle w:val="VerbatimChar"/>
        </w:rPr>
        <w:t xml:space="preserve">Organisation (type=ENTREPRISE)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Entreprise  (organisation_id)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       (organisation_id, role=PATRON|CHEF_DOSSIER|AUDITEUR)</w:t>
      </w:r>
    </w:p>
    <w:p>
      <w:pPr>
        <w:pStyle w:val="FirstParagraph"/>
      </w:pPr>
      <w:r>
        <w:t xml:space="preserve">Le scoping est simple :</w:t>
      </w:r>
      <w:r>
        <w:t xml:space="preserve"> </w:t>
      </w:r>
      <w:r>
        <w:rPr>
          <w:rStyle w:val="VerbatimChar"/>
        </w:rPr>
        <w:t xml:space="preserve">organisation_id = ctx.org_id</w:t>
      </w:r>
      <w:r>
        <w:t xml:space="preserve">. Filtre direct sur toutes les entités métier.</w:t>
      </w:r>
    </w:p>
    <w:bookmarkEnd w:id="22"/>
    <w:bookmarkStart w:id="23" w:name="cas-2-cabinet-multi-entreprises"/>
    <w:p>
      <w:pPr>
        <w:pStyle w:val="Heading2"/>
      </w:pPr>
      <w:r>
        <w:t xml:space="preserve">Cas 2 — Cabinet multi-entreprises</w:t>
      </w:r>
    </w:p>
    <w:p>
      <w:pPr>
        <w:pStyle w:val="SourceCode"/>
      </w:pPr>
      <w:r>
        <w:rPr>
          <w:rStyle w:val="VerbatimChar"/>
        </w:rPr>
        <w:t xml:space="preserve">Organisation (type=CABINET)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Cabinet     (organisation_id)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Entreprise  (cabinet_id=X)   Entreprise (cabinet_id=X)   Entreprise (cabinet_id=X)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       (organisation_id=cabinet.organisation_id, role=CONSULTANT)</w:t>
      </w:r>
    </w:p>
    <w:p>
      <w:pPr>
        <w:pStyle w:val="FirstParagraph"/>
      </w:pPr>
      <w:r>
        <w:t xml:space="preserve">Le consultant est utilisateur de l’organisation CABINET, mais opère sur des entreprises dont</w:t>
      </w:r>
      <w:r>
        <w:t xml:space="preserve"> </w:t>
      </w:r>
      <w:r>
        <w:rPr>
          <w:rStyle w:val="VerbatimChar"/>
        </w:rPr>
        <w:t xml:space="preserve">cabinet_id = cabinet.id</w:t>
      </w:r>
      <w:r>
        <w:t xml:space="preserve">. Le scoping Cas 2 nécessite</w:t>
      </w:r>
      <w:r>
        <w:t xml:space="preserve"> </w:t>
      </w:r>
      <w:r>
        <w:rPr>
          <w:bCs/>
          <w:b/>
        </w:rPr>
        <w:t xml:space="preserve">le header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X-Entreprise-Active-Id</w:t>
      </w:r>
      <w:r>
        <w:t xml:space="preserve"> </w:t>
      </w:r>
      <w:r>
        <w:t xml:space="preserve">pour désigner l’entreprise courante parmi N.</w:t>
      </w:r>
    </w:p>
    <w:bookmarkEnd w:id="23"/>
    <w:bookmarkStart w:id="24" w:name="cas-3-plateforme-assistants-agréés"/>
    <w:p>
      <w:pPr>
        <w:pStyle w:val="Heading2"/>
      </w:pPr>
      <w:r>
        <w:t xml:space="preserve">Cas 3 — Plateforme (assistants agréés)</w:t>
      </w:r>
    </w:p>
    <w:p>
      <w:pPr>
        <w:pStyle w:val="SourceCode"/>
      </w:pPr>
      <w:r>
        <w:rPr>
          <w:rStyle w:val="VerbatimChar"/>
        </w:rPr>
        <w:t xml:space="preserve">Organisation (type=ENTREPRISE, nom="SOUMISSION.DZ — Assistants")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       (organisation_id, role=ASSISTANT_AGREE)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AssistantAgree (user_id, spécialités, IBAN, charte signée)</w:t>
      </w:r>
    </w:p>
    <w:p>
      <w:pPr>
        <w:pStyle w:val="FirstParagraph"/>
      </w:pPr>
      <w:r>
        <w:t xml:space="preserve">L’assistant n’a</w:t>
      </w:r>
      <w:r>
        <w:t xml:space="preserve"> </w:t>
      </w:r>
      <w:r>
        <w:rPr>
          <w:bCs/>
          <w:b/>
        </w:rPr>
        <w:t xml:space="preserve">pas d’accès direct</w:t>
      </w:r>
      <w:r>
        <w:t xml:space="preserve"> </w:t>
      </w:r>
      <w:r>
        <w:t xml:space="preserve">aux entreprises. Il accède uniquement via un</w:t>
      </w:r>
      <w:r>
        <w:t xml:space="preserve"> </w:t>
      </w:r>
      <w:r>
        <w:rPr>
          <w:bCs/>
          <w:b/>
        </w:rPr>
        <w:t xml:space="preserve">Mandat signé</w:t>
      </w:r>
      <w:r>
        <w:t xml:space="preserve"> </w:t>
      </w:r>
      <w:r>
        <w:t xml:space="preserve">qui lui donne un périmètre d’actions borné dans le temps sur une entreprise cliente. Chaque action dans le périmètre du mandat est tracée dans</w:t>
      </w:r>
      <w:r>
        <w:t xml:space="preserve"> </w:t>
      </w:r>
      <w:r>
        <w:rPr>
          <w:rStyle w:val="VerbatimChar"/>
        </w:rPr>
        <w:t xml:space="preserve">AoMandatAction</w:t>
      </w:r>
      <w:r>
        <w:t xml:space="preserve">.</w:t>
      </w:r>
    </w:p>
    <w:bookmarkEnd w:id="24"/>
    <w:bookmarkStart w:id="25" w:name="admin-plateforme"/>
    <w:p>
      <w:pPr>
        <w:pStyle w:val="Heading2"/>
      </w:pPr>
      <w:r>
        <w:t xml:space="preserve">Admin plateforme</w:t>
      </w:r>
    </w:p>
    <w:p>
      <w:pPr>
        <w:pStyle w:val="SourceCode"/>
      </w:pPr>
      <w:r>
        <w:rPr>
          <w:rStyle w:val="VerbatimChar"/>
        </w:rPr>
        <w:t xml:space="preserve">Organisation (type=ENTREPRISE, nom="SOUMISSION.DZ — Admin")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       (organisation_id, role=ADMIN_PLATEFORME)</w:t>
      </w:r>
    </w:p>
    <w:p>
      <w:pPr>
        <w:pStyle w:val="FirstParagraph"/>
      </w:pPr>
      <w:r>
        <w:t xml:space="preserve">Seul rôle habilité à voir toutes les organisations, recruter des assistants, configurer le catalogue global.</w:t>
      </w:r>
    </w:p>
    <w:bookmarkEnd w:id="25"/>
    <w:bookmarkEnd w:id="26"/>
    <w:bookmarkStart w:id="27" w:name="scoping-le-cœur-de-la-sécurité"/>
    <w:p>
      <w:pPr>
        <w:pStyle w:val="Heading1"/>
      </w:pPr>
      <w:r>
        <w:t xml:space="preserve">Scoping : le cœur de la sécurité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app/scoping.py</w:t>
      </w:r>
      <w:r>
        <w:t xml:space="preserve"> </w:t>
      </w:r>
      <w:r>
        <w:t xml:space="preserve">expose</w:t>
      </w:r>
      <w:r>
        <w:t xml:space="preserve"> </w:t>
      </w:r>
      <w:r>
        <w:rPr>
          <w:rStyle w:val="VerbatimChar"/>
        </w:rPr>
        <w:t xml:space="preserve">resolve_entreprise_courante(ctx, db)</w:t>
      </w:r>
      <w:r>
        <w:t xml:space="preserve"> </w:t>
      </w:r>
      <w:r>
        <w:t xml:space="preserve">qui retourne l’</w:t>
      </w:r>
      <w:r>
        <w:rPr>
          <w:rStyle w:val="VerbatimChar"/>
        </w:rPr>
        <w:t xml:space="preserve">entreprise_id</w:t>
      </w:r>
      <w:r>
        <w:t xml:space="preserve"> </w:t>
      </w:r>
      <w:r>
        <w:t xml:space="preserve">de référence selon le profil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98"/>
        <w:gridCol w:w="52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Logique de résolution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 1 patron/chef/auditeur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 (et unique) entreprise de</w:t>
            </w:r>
            <w:r>
              <w:t xml:space="preserve"> </w:t>
            </w:r>
            <w:r>
              <w:rPr>
                <w:rStyle w:val="VerbatimChar"/>
              </w:rPr>
              <w:t xml:space="preserve">ctx.org_id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 2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Entreprise identifiée par</w:t>
            </w:r>
            <w:r>
              <w:t xml:space="preserve"> </w:t>
            </w:r>
            <w:r>
              <w:rPr>
                <w:rStyle w:val="VerbatimChar"/>
              </w:rPr>
              <w:t xml:space="preserve">X-Entreprise-Active-Id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vérifiée dans le portefeuille du cabinet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 3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Entreprise du mandat actif,</w:t>
            </w:r>
            <w:r>
              <w:t xml:space="preserve"> </w:t>
            </w:r>
            <w:r>
              <w:rPr>
                <w:bCs/>
                <w:b/>
              </w:rPr>
              <w:t xml:space="preserve">vérifiée dans la base Mandat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scoping (accès transverse)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Toute requête qui tenterait 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entreprise_id</w:t>
      </w:r>
      <w:r>
        <w:rPr>
          <w:bCs/>
          <w:b/>
        </w:rPr>
        <w:t xml:space="preserve"> </w:t>
      </w:r>
      <w:r>
        <w:rPr>
          <w:bCs/>
          <w:b/>
        </w:rPr>
        <w:t xml:space="preserve">hors périmètre retourne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404</w:t>
      </w:r>
      <w:r>
        <w:t xml:space="preserve"> </w:t>
      </w:r>
      <w:r>
        <w:t xml:space="preserve">(jamais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pour masquer l’existence même de l’entité).</w:t>
      </w:r>
    </w:p>
    <w:bookmarkEnd w:id="27"/>
    <w:bookmarkStart w:id="28" w:name="routers-70-endpoints"/>
    <w:p>
      <w:pPr>
        <w:pStyle w:val="Heading1"/>
      </w:pPr>
      <w:r>
        <w:t xml:space="preserve">16 routers, ~70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"/>
        <w:gridCol w:w="2143"/>
        <w:gridCol w:w="56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compte entreprise (Cas 1) ou cabinet (Cas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JWT,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d’utilisateurs (patron uniquement)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Recrutement et agrément des assistants Cas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coffre.py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types officiels de documents, upload/download, alertes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des marchés précédents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AO, import PDF (extraction regex 48 wilayas), audit 25 règles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35 articles BTPH, simulateur de prix avec verdicts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templates de marchés (ROUTES, BATIMENT_PUBLIC, VRD, LPP, HYDRAULIQUE) avec chiffrage proportionnel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memoire.py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DOCX mémoire technique + 3 formulaires officiels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dossiers.py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dossiers 4 colonnes, cautions, historique soumissions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cabinet.py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Portefeuille d’entreprises, comparateur inter-entreprises pour un 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assistance.py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7 prestations, mission Cas 3 (création →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plans, abonnements mensuels/annuels, factures PDF conformes fiscalité DZ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parrainage_hotline.py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 de parrainage 20 %, tickets hotline 3 niveaux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conformite.py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  <w:r>
              <w:t xml:space="preserve"> </w:t>
            </w:r>
            <w:r>
              <w:rPr>
                <w:rStyle w:val="VerbatimChar"/>
              </w:rPr>
              <w:t xml:space="preserve">/confidentialite</w:t>
            </w:r>
            <w:r>
              <w:t xml:space="preserve">, consentement, export ZIP, soft-delete J+30</w:t>
            </w:r>
          </w:p>
        </w:tc>
      </w:tr>
    </w:tbl>
    <w:bookmarkEnd w:id="28"/>
    <w:bookmarkStart w:id="29" w:name="modèle-de-données-8-modules"/>
    <w:p>
      <w:pPr>
        <w:pStyle w:val="Heading1"/>
      </w:pPr>
      <w:r>
        <w:t xml:space="preserve">Modèle de données (8 modules)</w:t>
      </w:r>
    </w:p>
    <w:p>
      <w:pPr>
        <w:pStyle w:val="SourceCode"/>
      </w:pPr>
      <w:r>
        <w:rPr>
          <w:rStyle w:val="VerbatimChar"/>
        </w:rPr>
        <w:t xml:space="preserve">app/models/</w:t>
      </w:r>
      <w:r>
        <w:br/>
      </w:r>
      <w:r>
        <w:rPr>
          <w:rStyle w:val="VerbatimChar"/>
        </w:rPr>
        <w:t xml:space="preserve">├── base.py         # Base declarative</w:t>
      </w:r>
      <w:r>
        <w:br/>
      </w:r>
      <w:r>
        <w:rPr>
          <w:rStyle w:val="VerbatimChar"/>
        </w:rPr>
        <w:t xml:space="preserve">├── enums.py        # 7 enums : OrgType, OrgStatut, PlanCode, UserRole, ...</w:t>
      </w:r>
      <w:r>
        <w:br/>
      </w:r>
      <w:r>
        <w:rPr>
          <w:rStyle w:val="VerbatimChar"/>
        </w:rPr>
        <w:t xml:space="preserve">├── organisation.py # Table racine tenant (type ENTREPRISE | CABINET)</w:t>
      </w:r>
      <w:r>
        <w:br/>
      </w:r>
      <w:r>
        <w:rPr>
          <w:rStyle w:val="VerbatimChar"/>
        </w:rPr>
        <w:t xml:space="preserve">├── entreprise.py   # NIF, NIS, RC, qualification, wilaya</w:t>
      </w:r>
      <w:r>
        <w:br/>
      </w:r>
      <w:r>
        <w:rPr>
          <w:rStyle w:val="VerbatimChar"/>
        </w:rPr>
        <w:t xml:space="preserve">├── cabinet.py      # Consultant principal, portefeuille</w:t>
      </w:r>
      <w:r>
        <w:br/>
      </w:r>
      <w:r>
        <w:rPr>
          <w:rStyle w:val="VerbatimChar"/>
        </w:rPr>
        <w:t xml:space="preserve">├── user.py         # Email, password_hash, role, last_login</w:t>
      </w:r>
      <w:r>
        <w:br/>
      </w:r>
      <w:r>
        <w:rPr>
          <w:rStyle w:val="VerbatimChar"/>
        </w:rPr>
        <w:t xml:space="preserve">├── metier.py       # Document, Reference, AppelOffres, PrixArticle</w:t>
      </w:r>
      <w:r>
        <w:br/>
      </w:r>
      <w:r>
        <w:rPr>
          <w:rStyle w:val="VerbatimChar"/>
        </w:rPr>
        <w:t xml:space="preserve">├── dossier.py      # Dossier, Caution, Soumission</w:t>
      </w:r>
      <w:r>
        <w:br/>
      </w:r>
      <w:r>
        <w:rPr>
          <w:rStyle w:val="VerbatimChar"/>
        </w:rPr>
        <w:t xml:space="preserve">└── phase4.py       # AssistantAgree, PrestationCatalogue, Mandat, Mission,</w:t>
      </w:r>
      <w:r>
        <w:br/>
      </w:r>
      <w:r>
        <w:rPr>
          <w:rStyle w:val="VerbatimChar"/>
        </w:rPr>
        <w:t xml:space="preserve">                      AoMandatAction, MissionMessage, Plan, Abonnement, Facture,</w:t>
      </w:r>
      <w:r>
        <w:br/>
      </w:r>
      <w:r>
        <w:rPr>
          <w:rStyle w:val="VerbatimChar"/>
        </w:rPr>
        <w:t xml:space="preserve">                      CodeParrainage, Commission, TicketHotline</w:t>
      </w:r>
    </w:p>
    <w:p>
      <w:pPr>
        <w:pStyle w:val="FirstParagraph"/>
      </w:pPr>
      <w:r>
        <w:t xml:space="preserve">Chaque modèle a 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id: int</w:t>
      </w:r>
      <w:r>
        <w:t xml:space="preserve"> </w:t>
      </w:r>
      <w:r>
        <w:t xml:space="preserve">auto-incrémenté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default=now()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onupdate=now()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deleted_at</w:t>
      </w:r>
      <w:r>
        <w:t xml:space="preserve"> </w:t>
      </w:r>
      <w:r>
        <w:t xml:space="preserve">pour le soft-delete (sur les entités métier, pas les tables catalogue)</w:t>
      </w:r>
    </w:p>
    <w:bookmarkEnd w:id="29"/>
    <w:bookmarkStart w:id="30" w:name="alembic-4-migrations"/>
    <w:p>
      <w:pPr>
        <w:pStyle w:val="Heading1"/>
      </w:pPr>
      <w:r>
        <w:t xml:space="preserve">Alembic — 4 migrations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"/>
        <w:gridCol w:w="2028"/>
        <w:gridCol w:w="5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0001_initial.py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Organisation, Entreprise, Cabinet, User, enums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0002_lots23.py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Document, Reference, AppelOffres, PrixArticle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0003_phase3.py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Dossier, Caution, Soumission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0004_phase4.py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AssistantAgree, Plan, Abonnement, Facture, Mandat, Mission, MissionMessage, AoMandatAction, TicketHotline, CodeParrainage, Commission</w:t>
            </w:r>
          </w:p>
        </w:tc>
      </w:tr>
    </w:tbl>
    <w:p>
      <w:pPr>
        <w:pStyle w:val="BodyText"/>
      </w:pPr>
      <w:r>
        <w:t xml:space="preserve">Application :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.</w:t>
      </w:r>
    </w:p>
    <w:p>
      <w:pPr>
        <w:pStyle w:val="BodyText"/>
      </w:pPr>
      <w:r>
        <w:t xml:space="preserve">Les migrations sont</w:t>
      </w:r>
      <w:r>
        <w:t xml:space="preserve"> </w:t>
      </w:r>
      <w:r>
        <w:rPr>
          <w:bCs/>
          <w:b/>
        </w:rPr>
        <w:t xml:space="preserve">SQLite-compatibles</w:t>
      </w:r>
      <w:r>
        <w:t xml:space="preserve"> </w:t>
      </w:r>
      <w:r>
        <w:t xml:space="preserve">(pas de</w:t>
      </w:r>
      <w:r>
        <w:t xml:space="preserve"> </w:t>
      </w:r>
      <w:r>
        <w:rPr>
          <w:rStyle w:val="VerbatimChar"/>
        </w:rPr>
        <w:t xml:space="preserve">ALTER COLUMN</w:t>
      </w:r>
      <w:r>
        <w:t xml:space="preserve"> </w:t>
      </w:r>
      <w:r>
        <w:t xml:space="preserve">; on recrée la table si nécessaire). PostgreSQL 16 accepte aussi ce format.</w:t>
      </w:r>
    </w:p>
    <w:bookmarkEnd w:id="30"/>
    <w:bookmarkStart w:id="35" w:name="services-métier"/>
    <w:p>
      <w:pPr>
        <w:pStyle w:val="Heading1"/>
      </w:pPr>
      <w:r>
        <w:t xml:space="preserve">Services métier</w:t>
      </w:r>
    </w:p>
    <w:p>
      <w:pPr>
        <w:pStyle w:val="FirstParagraph"/>
      </w:pPr>
      <w:r>
        <w:t xml:space="preserve">Le dossier</w:t>
      </w:r>
      <w:r>
        <w:t xml:space="preserve"> </w:t>
      </w:r>
      <w:r>
        <w:rPr>
          <w:rStyle w:val="VerbatimChar"/>
        </w:rPr>
        <w:t xml:space="preserve">app/services/</w:t>
      </w:r>
      <w:r>
        <w:t xml:space="preserve"> </w:t>
      </w:r>
      <w:r>
        <w:t xml:space="preserve">ne fait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d’accès base. Il transforme des données pures en objets métier.</w:t>
      </w:r>
    </w:p>
    <w:bookmarkStart w:id="31" w:name="pdf_extractor.py"/>
    <w:p>
      <w:pPr>
        <w:pStyle w:val="Heading2"/>
      </w:pPr>
      <w:r>
        <w:rPr>
          <w:rStyle w:val="VerbatimChar"/>
        </w:rPr>
        <w:t xml:space="preserve">pdf_extractor.py</w:t>
      </w:r>
    </w:p>
    <w:p>
      <w:pPr>
        <w:pStyle w:val="FirstParagraph"/>
      </w:pPr>
      <w:r>
        <w:t xml:space="preserve">Extraction par regex de champs d’un PDF d’AO uploadé. Champs reconnus : référence, objet, maître d’ouvrage, wilaya (48 wilayas codées), date limite, budget, qualification catégorie.</w:t>
      </w:r>
    </w:p>
    <w:bookmarkEnd w:id="31"/>
    <w:bookmarkStart w:id="32" w:name="rules_engine.py"/>
    <w:p>
      <w:pPr>
        <w:pStyle w:val="Heading2"/>
      </w:pPr>
      <w:r>
        <w:rPr>
          <w:rStyle w:val="VerbatimChar"/>
        </w:rPr>
        <w:t xml:space="preserve">rules_engine.py</w:t>
      </w:r>
    </w:p>
    <w:p>
      <w:pPr>
        <w:pStyle w:val="FirstParagraph"/>
      </w:pPr>
      <w:r>
        <w:t xml:space="preserve">Moteur de 25 règles pondérées avec catégories (documents, qualification, finances, calendrier, cohérence). Score sur 100, verdicts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, messages français avec suggestion d’action.</w:t>
      </w:r>
    </w:p>
    <w:bookmarkEnd w:id="32"/>
    <w:bookmarkStart w:id="33" w:name="catalogue_seed.py"/>
    <w:p>
      <w:pPr>
        <w:pStyle w:val="Heading2"/>
      </w:pPr>
      <w:r>
        <w:rPr>
          <w:rStyle w:val="VerbatimChar"/>
        </w:rPr>
        <w:t xml:space="preserve">catalogue_seed.py</w:t>
      </w:r>
    </w:p>
    <w:p>
      <w:pPr>
        <w:pStyle w:val="FirstParagraph"/>
      </w:pPr>
      <w:r>
        <w:t xml:space="preserve">Seeds des 35 articles BTPH (terrassement, gros œuvre, VRD, électricité, plomberie, menuiserie, peinture, étanchéité) et des 5 templates de chiffrage proportionnels.</w:t>
      </w:r>
    </w:p>
    <w:bookmarkEnd w:id="33"/>
    <w:bookmarkStart w:id="34" w:name="docx_generator.py"/>
    <w:p>
      <w:pPr>
        <w:pStyle w:val="Heading2"/>
      </w:pPr>
      <w:r>
        <w:rPr>
          <w:rStyle w:val="VerbatimChar"/>
        </w:rPr>
        <w:t xml:space="preserve">docx_generator.py</w:t>
      </w:r>
    </w:p>
    <w:p>
      <w:pPr>
        <w:pStyle w:val="FirstParagraph"/>
      </w:pPr>
      <w:r>
        <w:t xml:space="preserve">Génération DOCX via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du mémoire technique (7 sections) et des 3 formulaires officiels (engagement sur l’honneur, déclaration de probité, liste des références).</w:t>
      </w:r>
    </w:p>
    <w:bookmarkEnd w:id="34"/>
    <w:bookmarkEnd w:id="35"/>
    <w:bookmarkStart w:id="36" w:name="front-spa"/>
    <w:p>
      <w:pPr>
        <w:pStyle w:val="Heading1"/>
      </w:pPr>
      <w:r>
        <w:t xml:space="preserve">Front SPA</w:t>
      </w:r>
    </w:p>
    <w:p>
      <w:pPr>
        <w:pStyle w:val="FirstParagraph"/>
      </w:pPr>
      <w:r>
        <w:rPr>
          <w:bCs/>
          <w:b/>
        </w:rPr>
        <w:t xml:space="preserve">Pas de build step.</w:t>
      </w:r>
      <w:r>
        <w:t xml:space="preserve"> </w:t>
      </w:r>
      <w:r>
        <w:t xml:space="preserve">Le frontend est servi par FastAPI en static files depuis</w:t>
      </w:r>
      <w:r>
        <w:t xml:space="preserve"> </w:t>
      </w:r>
      <w:r>
        <w:rPr>
          <w:rStyle w:val="VerbatimChar"/>
        </w:rPr>
        <w:t xml:space="preserve">/static/</w:t>
      </w:r>
      <w:r>
        <w:t xml:space="preserve">. Structure minimale 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— login + 7 onglets (Dashboard, Coffre, Références, AO, Chiffrage, Dossiers, Assistance, Facturation)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app.css</w:t>
      </w:r>
      <w:r>
        <w:t xml:space="preserve"> </w:t>
      </w:r>
      <w:r>
        <w:t xml:space="preserve">— 200 lignes, variables CSS couleurs, grid responsive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app.js</w:t>
      </w:r>
      <w:r>
        <w:t xml:space="preserve"> </w:t>
      </w:r>
      <w:r>
        <w:t xml:space="preserve">— 900 lignes, router hash-based, module auth, module API, écrans</w:t>
      </w:r>
    </w:p>
    <w:p>
      <w:pPr>
        <w:pStyle w:val="FirstParagraph"/>
      </w:pPr>
      <w:r>
        <w:t xml:space="preserve">Interactions avec l’API 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+ header</w:t>
      </w:r>
      <w:r>
        <w:t xml:space="preserve"> </w:t>
      </w:r>
      <w:r>
        <w:rPr>
          <w:rStyle w:val="VerbatimChar"/>
        </w:rPr>
        <w:t xml:space="preserve">Authorization: Bearer {token}</w:t>
      </w:r>
      <w:r>
        <w:t xml:space="preserve">. Token stocké dans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(pas de localStorage pour sécurité).</w:t>
      </w:r>
    </w:p>
    <w:bookmarkEnd w:id="36"/>
    <w:bookmarkStart w:id="37" w:name="installer-desktop"/>
    <w:p>
      <w:pPr>
        <w:pStyle w:val="Heading1"/>
      </w:pPr>
      <w:r>
        <w:t xml:space="preserve">Installer desktop</w:t>
      </w:r>
    </w:p>
    <w:p>
      <w:pPr>
        <w:pStyle w:val="FirstParagraph"/>
      </w:pPr>
      <w:r>
        <w:t xml:space="preserve">Le dossier</w:t>
      </w:r>
      <w:r>
        <w:t xml:space="preserve"> </w:t>
      </w:r>
      <w:r>
        <w:rPr>
          <w:rStyle w:val="VerbatimChar"/>
        </w:rPr>
        <w:t xml:space="preserve">installer/</w:t>
      </w:r>
      <w:r>
        <w:t xml:space="preserve"> </w:t>
      </w:r>
      <w:r>
        <w:t xml:space="preserve">contient 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installer_pyside6.py</w:t>
      </w:r>
      <w:r>
        <w:t xml:space="preserve"> </w:t>
      </w:r>
      <w:r>
        <w:t xml:space="preserve">— application PySide6 (wizard 5 pages + fenêtre principale + system tray)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build.spec</w:t>
      </w:r>
      <w:r>
        <w:t xml:space="preserve"> </w:t>
      </w:r>
      <w:r>
        <w:t xml:space="preserve">— spec PyInstaller pour générer un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autonome Windows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setup.bat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— scripts one-click qui créent venv, installent deps, lancent le GUI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icon.svg</w:t>
      </w:r>
      <w:r>
        <w:t xml:space="preserve"> </w:t>
      </w:r>
      <w:r>
        <w:t xml:space="preserve">— icône drapeau algérien</w:t>
      </w:r>
    </w:p>
    <w:p>
      <w:pPr>
        <w:pStyle w:val="FirstParagraph"/>
      </w:pPr>
      <w:r>
        <w:t xml:space="preserve">L’installateur exécute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, optionnellement</w:t>
      </w:r>
      <w:r>
        <w:t xml:space="preserve"> </w:t>
      </w:r>
      <w:r>
        <w:rPr>
          <w:rStyle w:val="VerbatimChar"/>
        </w:rPr>
        <w:t xml:space="preserve">seeds_demo.py</w:t>
      </w:r>
      <w:r>
        <w:t xml:space="preserve">, puis lance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en sous-processus et ouvre le navigateur sur la SPA.</w:t>
      </w:r>
    </w:p>
    <w:bookmarkEnd w:id="37"/>
    <w:bookmarkStart w:id="38" w:name="observabilité"/>
    <w:p>
      <w:pPr>
        <w:pStyle w:val="Heading1"/>
      </w:pPr>
      <w:r>
        <w:t xml:space="preserve">Observabilité</w:t>
      </w:r>
    </w:p>
    <w:p>
      <w:pPr>
        <w:pStyle w:val="FirstParagraph"/>
      </w:pPr>
      <w:r>
        <w:rPr>
          <w:bCs/>
          <w:b/>
        </w:rPr>
        <w:t xml:space="preserve">Logs loguru</w:t>
      </w:r>
      <w:r>
        <w:t xml:space="preserve"> </w:t>
      </w:r>
      <w:r>
        <w:t xml:space="preserve">structurés JSON :</w:t>
      </w:r>
    </w:p>
    <w:p>
      <w:pPr>
        <w:numPr>
          <w:ilvl w:val="0"/>
          <w:numId w:val="1005"/>
        </w:numPr>
        <w:pStyle w:val="Compact"/>
      </w:pPr>
      <w:r>
        <w:t xml:space="preserve">Stderr en développement</w:t>
      </w:r>
    </w:p>
    <w:p>
      <w:pPr>
        <w:numPr>
          <w:ilvl w:val="0"/>
          <w:numId w:val="1005"/>
        </w:numPr>
        <w:pStyle w:val="Compact"/>
      </w:pPr>
      <w:r>
        <w:t xml:space="preserve">Fichier rotatif en production (</w:t>
      </w:r>
      <w:r>
        <w:rPr>
          <w:rStyle w:val="VerbatimChar"/>
        </w:rPr>
        <w:t xml:space="preserve">logs/soumission.log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Niveau configurable via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5"/>
        </w:numPr>
        <w:pStyle w:val="Compact"/>
      </w:pPr>
      <w:r>
        <w:t xml:space="preserve">Champs spéciaux 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entreprise_id</w:t>
      </w:r>
      <w:r>
        <w:t xml:space="preserve"> </w:t>
      </w:r>
      <w:r>
        <w:t xml:space="preserve">ajoutés par middleware</w:t>
      </w:r>
    </w:p>
    <w:p>
      <w:pPr>
        <w:pStyle w:val="FirstParagraph"/>
      </w:pPr>
      <w:r>
        <w:rPr>
          <w:bCs/>
          <w:b/>
        </w:rPr>
        <w:t xml:space="preserve">Pas de Sentry / Datadog</w:t>
      </w:r>
      <w:r>
        <w:t xml:space="preserve"> </w:t>
      </w:r>
      <w:r>
        <w:t xml:space="preserve">en v5.0 (à ajouter en v6 si volume le justifie).</w:t>
      </w:r>
    </w:p>
    <w:bookmarkEnd w:id="38"/>
    <w:bookmarkStart w:id="39" w:name="limitations-connues-v5.0"/>
    <w:p>
      <w:pPr>
        <w:pStyle w:val="Heading1"/>
      </w:pPr>
      <w:r>
        <w:t xml:space="preserve">Limitations connues v5.0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 d’IA/LLM</w:t>
      </w:r>
      <w:r>
        <w:t xml:space="preserve"> </w:t>
      </w:r>
      <w:r>
        <w:t xml:space="preserve">— aucune suggestion automatique dans les audits (décision D3, reporté v6)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 de paiement en ligne</w:t>
      </w:r>
      <w:r>
        <w:t xml:space="preserve"> </w:t>
      </w:r>
      <w:r>
        <w:t xml:space="preserve">— intégration Satim/Edahabia mockée (décision D14, reporté v6 post-pilotes)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 de notifications push</w:t>
      </w:r>
      <w:r>
        <w:t xml:space="preserve"> </w:t>
      </w:r>
      <w:r>
        <w:t xml:space="preserve">— alertes visibles uniquement à l’ouverture de l’app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SQLite monopostes</w:t>
      </w:r>
      <w:r>
        <w:t xml:space="preserve"> </w:t>
      </w:r>
      <w:r>
        <w:t xml:space="preserve">— pour multi-utilisateurs simultanés &gt; 10, basculer sur PostgreSQL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 d’API publique externe</w:t>
      </w:r>
      <w:r>
        <w:t xml:space="preserve"> </w:t>
      </w:r>
      <w:r>
        <w:t xml:space="preserve">— pas d’intégration comptabilité/ERP tiers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 de mobile app</w:t>
      </w:r>
      <w:r>
        <w:t xml:space="preserve"> </w:t>
      </w:r>
      <w:r>
        <w:t xml:space="preserve">— SPA responsive suffit pour la v5.0</w:t>
      </w:r>
    </w:p>
    <w:bookmarkEnd w:id="39"/>
    <w:bookmarkStart w:id="40" w:name="décisions-architecturales-clés"/>
    <w:p>
      <w:pPr>
        <w:pStyle w:val="Heading1"/>
      </w:pPr>
      <w:r>
        <w:t xml:space="preserve">Décisions architecturales clés</w:t>
      </w:r>
    </w:p>
    <w:p>
      <w:pPr>
        <w:pStyle w:val="FirstParagraph"/>
      </w:pPr>
      <w:r>
        <w:t xml:space="preserve">Voir</w:t>
      </w:r>
      <w:r>
        <w:t xml:space="preserve"> </w:t>
      </w:r>
      <w:r>
        <w:rPr>
          <w:rStyle w:val="VerbatimChar"/>
        </w:rPr>
        <w:t xml:space="preserve">CHANGELOG_v5.md</w:t>
      </w:r>
      <w:r>
        <w:t xml:space="preserve"> </w:t>
      </w:r>
      <w:r>
        <w:t xml:space="preserve">pour les 40 décisions documentées (D1..D40). Les plus structurantes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D1</w:t>
      </w:r>
      <w:r>
        <w:t xml:space="preserve"> </w:t>
      </w:r>
      <w:r>
        <w:t xml:space="preserve">Python 3.11+ (StrEnum), pas 3.12 (compatibilité pilotes)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D7</w:t>
      </w:r>
      <w:r>
        <w:t xml:space="preserve"> </w:t>
      </w:r>
      <w:r>
        <w:t xml:space="preserve">Zéro Docker (installation native chez pilote)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D11</w:t>
      </w:r>
      <w:r>
        <w:t xml:space="preserve"> </w:t>
      </w:r>
      <w:r>
        <w:t xml:space="preserve">SQLite par défaut, PostgreSQL optionnel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D18</w:t>
      </w:r>
      <w:r>
        <w:t xml:space="preserve"> </w:t>
      </w:r>
      <w:r>
        <w:t xml:space="preserve">SPA vanilla JS (pas de React) — ROI build tooling négatif pour l’équipe actuelle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D23</w:t>
      </w:r>
      <w:r>
        <w:t xml:space="preserve"> </w:t>
      </w:r>
      <w:r>
        <w:t xml:space="preserve">3 tenants vs multi-tenant pur — simplicité opérationnelle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D31</w:t>
      </w:r>
      <w:r>
        <w:t xml:space="preserve"> </w:t>
      </w:r>
      <w:r>
        <w:t xml:space="preserve">Installateur PySide6 plutôt qu’Electron — 50 Mo vs 200 Mo, natif cross-platform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SOUMISSION.DZ — Architecture technique v5.0</dc:title>
  <dc:creator>Équipe SOUMISSION.DZ</dc:creator>
  <cp:keywords/>
  <dcterms:created xsi:type="dcterms:W3CDTF">2026-04-13T18:36:17Z</dcterms:created>
  <dcterms:modified xsi:type="dcterms:W3CDTF">2026-04-13T18:36:17Z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 — Version 5.0</vt:lpwstr>
  </property>
  <property fmtid="{D5CDD505-2E9C-101B-9397-08002B2CF9AE}" pid="3" name="subtitle">
    <vt:lpwstr>Modèle à 3 tenants, couches applicatives, sécurité par construction</vt:lpwstr>
  </property>
</Properties>
</file>