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Roadmap</w:t>
      </w:r>
    </w:p>
    <w:p>
      <w:pPr>
        <w:pStyle w:val="Subtitle"/>
      </w:pPr>
      <w:r>
        <w:t xml:space="preserve">Actions</w:t>
      </w:r>
      <w:r>
        <w:t xml:space="preserve"> </w:t>
      </w:r>
      <w:r>
        <w:t xml:space="preserve">post-v5.0,</w:t>
      </w:r>
      <w:r>
        <w:t xml:space="preserve"> </w:t>
      </w:r>
      <w:r>
        <w:t xml:space="preserve">préparation</w:t>
      </w:r>
      <w:r>
        <w:t xml:space="preserve"> </w:t>
      </w:r>
      <w:r>
        <w:t xml:space="preserve">v6,</w:t>
      </w:r>
      <w:r>
        <w:t xml:space="preserve"> </w:t>
      </w:r>
      <w:r>
        <w:t xml:space="preserve">horizon</w:t>
      </w:r>
      <w:r>
        <w:t xml:space="preserve"> </w:t>
      </w:r>
      <w:r>
        <w:t xml:space="preserve">12</w:t>
      </w:r>
      <w:r>
        <w:t xml:space="preserve"> </w:t>
      </w:r>
      <w:r>
        <w:t xml:space="preserve">mois</w:t>
      </w:r>
    </w:p>
    <w:p>
      <w:pPr>
        <w:pStyle w:val="Author"/>
      </w:pPr>
      <w:r>
        <w:t xml:space="preserve">Belhof</w:t>
      </w:r>
      <w:r>
        <w:t xml:space="preserve"> </w:t>
      </w:r>
      <w:r>
        <w:t xml:space="preserve">—</w:t>
      </w:r>
      <w:r>
        <w:t xml:space="preserve"> </w:t>
      </w:r>
      <w:r>
        <w:t xml:space="preserve">Fondateur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ù-en-est-on"/>
    <w:p>
      <w:pPr>
        <w:pStyle w:val="Heading1"/>
      </w:pPr>
      <w:r>
        <w:t xml:space="preserve">Où en est-on ?</w:t>
      </w:r>
    </w:p>
    <w:p>
      <w:pPr>
        <w:pStyle w:val="FirstParagraph"/>
      </w:pPr>
      <w:r>
        <w:rPr>
          <w:bCs/>
          <w:b/>
        </w:rPr>
        <w:t xml:space="preserve">v5.0 livrée et fonctionnelle.</w:t>
      </w:r>
      <w:r>
        <w:t xml:space="preserve"> </w:t>
      </w:r>
      <w:r>
        <w:t xml:space="preserve">Les 9 lots du mega-prompt sont implémentés, 110 tests pytest passent, la base de démonstration simule 2 mois d’activité réaliste. L’installateur desktop est prêt à être distribué aux 4 pilotes identifiés.</w:t>
      </w:r>
    </w:p>
    <w:p>
      <w:pPr>
        <w:pStyle w:val="BodyText"/>
      </w:pPr>
      <w:r>
        <w:t xml:space="preserve">Le travail de développement v5.0 est</w:t>
      </w:r>
      <w:r>
        <w:t xml:space="preserve"> </w:t>
      </w:r>
      <w:r>
        <w:rPr>
          <w:bCs/>
          <w:b/>
        </w:rPr>
        <w:t xml:space="preserve">terminé</w:t>
      </w:r>
      <w:r>
        <w:t xml:space="preserve">. Les prochaines étapes sont d’ordre commercial et opérationnel.</w:t>
      </w:r>
    </w:p>
    <w:bookmarkEnd w:id="20"/>
    <w:bookmarkStart w:id="24" w:name="X205940695ac9e9904d759fb370be241b14c626f"/>
    <w:p>
      <w:pPr>
        <w:pStyle w:val="Heading1"/>
      </w:pPr>
      <w:r>
        <w:t xml:space="preserve">Phase 1 — Signature des pilotes (semaines 1-4)</w:t>
      </w:r>
    </w:p>
    <w:bookmarkStart w:id="21" w:name="action-concrète"/>
    <w:p>
      <w:pPr>
        <w:pStyle w:val="Heading2"/>
      </w:pPr>
      <w:r>
        <w:t xml:space="preserve">Action concrète</w:t>
      </w:r>
    </w:p>
    <w:p>
      <w:pPr>
        <w:pStyle w:val="FirstParagraph"/>
      </w:pPr>
      <w:r>
        <w:t xml:space="preserve">Pour chacun des 4 pilotes identifiés, une LOI (Lettre d’Intention) avec :</w:t>
      </w:r>
    </w:p>
    <w:p>
      <w:pPr>
        <w:numPr>
          <w:ilvl w:val="0"/>
          <w:numId w:val="1001"/>
        </w:numPr>
        <w:pStyle w:val="Compact"/>
      </w:pPr>
      <w:r>
        <w:t xml:space="preserve">Engagement d’usage réel sur 8-12 semaines</w:t>
      </w:r>
    </w:p>
    <w:p>
      <w:pPr>
        <w:numPr>
          <w:ilvl w:val="0"/>
          <w:numId w:val="1001"/>
        </w:numPr>
        <w:pStyle w:val="Compact"/>
      </w:pPr>
      <w:r>
        <w:t xml:space="preserve">Accès gratuit pendant la période de pilote</w:t>
      </w:r>
    </w:p>
    <w:p>
      <w:pPr>
        <w:numPr>
          <w:ilvl w:val="0"/>
          <w:numId w:val="1001"/>
        </w:numPr>
        <w:pStyle w:val="Compact"/>
      </w:pPr>
      <w:r>
        <w:t xml:space="preserve">Engagement de retour hebdomadaire structuré (30 min / semaine)</w:t>
      </w:r>
    </w:p>
    <w:p>
      <w:pPr>
        <w:numPr>
          <w:ilvl w:val="0"/>
          <w:numId w:val="1001"/>
        </w:numPr>
        <w:pStyle w:val="Compact"/>
      </w:pPr>
      <w:r>
        <w:t xml:space="preserve">Possibilité de conversion en abonnement payant au tarif normal ensuite</w:t>
      </w:r>
    </w:p>
    <w:p>
      <w:pPr>
        <w:numPr>
          <w:ilvl w:val="0"/>
          <w:numId w:val="1001"/>
        </w:numPr>
        <w:pStyle w:val="Compact"/>
      </w:pPr>
      <w:r>
        <w:t xml:space="preserve">Confidentialité réciproque sur les données et les retours</w:t>
      </w:r>
    </w:p>
    <w:bookmarkEnd w:id="21"/>
    <w:bookmarkStart w:id="22" w:name="livrables-techniques-associés"/>
    <w:p>
      <w:pPr>
        <w:pStyle w:val="Heading2"/>
      </w:pPr>
      <w:r>
        <w:t xml:space="preserve">Livrables techniques associés</w:t>
      </w:r>
    </w:p>
    <w:p>
      <w:pPr>
        <w:numPr>
          <w:ilvl w:val="0"/>
          <w:numId w:val="1002"/>
        </w:numPr>
        <w:pStyle w:val="Compact"/>
      </w:pPr>
      <w:r>
        <w:t xml:space="preserve">Signer le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Windows avec un certificat code signing (évite SmartScreen)</w:t>
      </w:r>
    </w:p>
    <w:p>
      <w:pPr>
        <w:numPr>
          <w:ilvl w:val="0"/>
          <w:numId w:val="1002"/>
        </w:numPr>
        <w:pStyle w:val="Compact"/>
      </w:pPr>
      <w:r>
        <w:t xml:space="preserve">Créer une clé USB d’installation par pilote (backup si problème Internet)</w:t>
      </w:r>
    </w:p>
    <w:p>
      <w:pPr>
        <w:numPr>
          <w:ilvl w:val="0"/>
          <w:numId w:val="1002"/>
        </w:numPr>
        <w:pStyle w:val="Compact"/>
      </w:pPr>
      <w:r>
        <w:t xml:space="preserve">Documentation utilisateur papier 4 pages (imprimable) + PDF lisible</w:t>
      </w:r>
    </w:p>
    <w:bookmarkEnd w:id="22"/>
    <w:bookmarkStart w:id="23" w:name="risques"/>
    <w:p>
      <w:pPr>
        <w:pStyle w:val="Heading2"/>
      </w:pPr>
      <w:r>
        <w:t xml:space="preserve">Risques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 pilote abandonne en cours de route</w:t>
      </w:r>
      <w:r>
        <w:t xml:space="preserve"> </w:t>
      </w:r>
      <w:r>
        <w:t xml:space="preserve">: prévoir un 5e pilote en backup (Nadia Omega Fournitures identifiée)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 pilote rencontre un bug bloquant</w:t>
      </w:r>
      <w:r>
        <w:t xml:space="preserve"> </w:t>
      </w:r>
      <w:r>
        <w:t xml:space="preserve">: s’engager sur correction &lt; 48 h avec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mis à jour envoyé</w:t>
      </w:r>
    </w:p>
    <w:bookmarkEnd w:id="23"/>
    <w:bookmarkEnd w:id="24"/>
    <w:bookmarkStart w:id="28" w:name="X91e2ccb33c39c3c8acbeba719215bb5cfe397f2"/>
    <w:p>
      <w:pPr>
        <w:pStyle w:val="Heading1"/>
      </w:pPr>
      <w:r>
        <w:t xml:space="preserve">Phase 2 — Exploitation pilote (semaines 5-16)</w:t>
      </w:r>
    </w:p>
    <w:bookmarkStart w:id="25" w:name="rituel-hebdomadaire"/>
    <w:p>
      <w:pPr>
        <w:pStyle w:val="Heading2"/>
      </w:pPr>
      <w:r>
        <w:t xml:space="preserve">Rituel hebdomadaire</w:t>
      </w:r>
    </w:p>
    <w:p>
      <w:pPr>
        <w:pStyle w:val="FirstParagraph"/>
      </w:pPr>
      <w:r>
        <w:t xml:space="preserve">Par pilote, 30 min de call structuré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 qui s’est passé</w:t>
      </w:r>
      <w:r>
        <w:t xml:space="preserve"> </w:t>
      </w:r>
      <w:r>
        <w:t xml:space="preserve">: combien d’AO traités, combien remportés, temps passé sur la plateforme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 qui a marché</w:t>
      </w:r>
      <w:r>
        <w:t xml:space="preserve"> </w:t>
      </w:r>
      <w:r>
        <w:t xml:space="preserve">: fonctionnalités effectivement utilisées, temps gagné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 qui a bloqué</w:t>
      </w:r>
      <w:r>
        <w:t xml:space="preserve"> </w:t>
      </w:r>
      <w:r>
        <w:t xml:space="preserve">: bugs, confusion UI, manque fonctionnel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Demandes précises</w:t>
      </w:r>
      <w:r>
        <w:t xml:space="preserve"> </w:t>
      </w:r>
      <w:r>
        <w:t xml:space="preserve">: à noter dans un backlog priorisé</w:t>
      </w:r>
    </w:p>
    <w:bookmarkEnd w:id="25"/>
    <w:bookmarkStart w:id="26" w:name="backlog-des-feedbacks"/>
    <w:p>
      <w:pPr>
        <w:pStyle w:val="Heading2"/>
      </w:pPr>
      <w:r>
        <w:t xml:space="preserve">Backlog des feedbacks</w:t>
      </w:r>
    </w:p>
    <w:p>
      <w:pPr>
        <w:numPr>
          <w:ilvl w:val="0"/>
          <w:numId w:val="1005"/>
        </w:numPr>
        <w:pStyle w:val="Compact"/>
      </w:pPr>
      <w:r>
        <w:t xml:space="preserve">Un fichier</w:t>
      </w:r>
      <w:r>
        <w:t xml:space="preserve"> </w:t>
      </w:r>
      <w:r>
        <w:rPr>
          <w:rStyle w:val="VerbatimChar"/>
        </w:rPr>
        <w:t xml:space="preserve">FEEDBACK_PILOTES.md</w:t>
      </w:r>
      <w:r>
        <w:t xml:space="preserve"> </w:t>
      </w:r>
      <w:r>
        <w:t xml:space="preserve">dans le repo</w:t>
      </w:r>
    </w:p>
    <w:p>
      <w:pPr>
        <w:numPr>
          <w:ilvl w:val="0"/>
          <w:numId w:val="1005"/>
        </w:numPr>
        <w:pStyle w:val="Compact"/>
      </w:pPr>
      <w:r>
        <w:t xml:space="preserve">Une ligne par retour, format :</w:t>
      </w:r>
      <w:r>
        <w:t xml:space="preserve"> </w:t>
      </w:r>
      <w:r>
        <w:rPr>
          <w:rStyle w:val="VerbatimChar"/>
        </w:rPr>
        <w:t xml:space="preserve">[Pilote] [Date] [Priorité P1/P2/P3] — Description</w:t>
      </w:r>
    </w:p>
    <w:p>
      <w:pPr>
        <w:numPr>
          <w:ilvl w:val="0"/>
          <w:numId w:val="1005"/>
        </w:numPr>
        <w:pStyle w:val="Compact"/>
      </w:pPr>
      <w:r>
        <w:t xml:space="preserve">Revue hebdomadaire pour prioriser et affecter à une version (5.1, 5.2, 6.0)</w:t>
      </w:r>
    </w:p>
    <w:bookmarkEnd w:id="26"/>
    <w:bookmarkStart w:id="27" w:name="métriques-à-collecter"/>
    <w:p>
      <w:pPr>
        <w:pStyle w:val="Heading2"/>
      </w:pPr>
      <w:r>
        <w:t xml:space="preserve">Métriques à collecter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Activation</w:t>
      </w:r>
      <w:r>
        <w:t xml:space="preserve"> </w:t>
      </w:r>
      <w:r>
        <w:t xml:space="preserve">: après combien de jours le pilote a uploadé son 1er document ? importé son 1er AO ? créé son 1er dossier complet 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Engagement</w:t>
      </w:r>
      <w:r>
        <w:t xml:space="preserve"> </w:t>
      </w:r>
      <w:r>
        <w:t xml:space="preserve">: nombre de jours d’usage actif / semaine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Valeur perçue</w:t>
      </w:r>
      <w:r>
        <w:t xml:space="preserve"> </w:t>
      </w:r>
      <w:r>
        <w:t xml:space="preserve">: combien de temps économisé par AO (estimation pilote)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NPS qualitatif</w:t>
      </w:r>
      <w:r>
        <w:t xml:space="preserve"> </w:t>
      </w:r>
      <w:r>
        <w:t xml:space="preserve">: « recommanderais-tu à un confrère ? »</w:t>
      </w:r>
    </w:p>
    <w:bookmarkEnd w:id="27"/>
    <w:bookmarkEnd w:id="28"/>
    <w:bookmarkStart w:id="32" w:name="X5b9bc1b86bb8f2c0b835f54147423a2bb7e4b9e"/>
    <w:p>
      <w:pPr>
        <w:pStyle w:val="Heading1"/>
      </w:pPr>
      <w:r>
        <w:t xml:space="preserve">Phase 3 — Itérations v5.x (semaines 6-16 en parallèle)</w:t>
      </w:r>
    </w:p>
    <w:p>
      <w:pPr>
        <w:pStyle w:val="FirstParagraph"/>
      </w:pPr>
      <w:r>
        <w:t xml:space="preserve">Versions mineures au fil du feedback :</w:t>
      </w:r>
    </w:p>
    <w:bookmarkStart w:id="29" w:name="v5.1-corrections-bloquantes-semaines-6-8"/>
    <w:p>
      <w:pPr>
        <w:pStyle w:val="Heading2"/>
      </w:pPr>
      <w:r>
        <w:t xml:space="preserve">v5.1 — Corrections bloquantes (semaines 6-8)</w:t>
      </w:r>
    </w:p>
    <w:p>
      <w:pPr>
        <w:numPr>
          <w:ilvl w:val="0"/>
          <w:numId w:val="1007"/>
        </w:numPr>
        <w:pStyle w:val="Compact"/>
      </w:pPr>
      <w:r>
        <w:t xml:space="preserve">Bugs P1 remontés par pilotes</w:t>
      </w:r>
    </w:p>
    <w:p>
      <w:pPr>
        <w:numPr>
          <w:ilvl w:val="0"/>
          <w:numId w:val="1007"/>
        </w:numPr>
        <w:pStyle w:val="Compact"/>
      </w:pPr>
      <w:r>
        <w:t xml:space="preserve">Améliorations d’ergonomie (copie de dossier, presets pour AO récurrents)</w:t>
      </w:r>
    </w:p>
    <w:p>
      <w:pPr>
        <w:numPr>
          <w:ilvl w:val="0"/>
          <w:numId w:val="1007"/>
        </w:numPr>
        <w:pStyle w:val="Compact"/>
      </w:pPr>
      <w:r>
        <w:t xml:space="preserve">Notifications email sur alertes d’expiration documents (pas de push, simple SMTP)</w:t>
      </w:r>
    </w:p>
    <w:bookmarkEnd w:id="29"/>
    <w:bookmarkStart w:id="30" w:name="v5.2-ajustements-métier-semaines-9-12"/>
    <w:p>
      <w:pPr>
        <w:pStyle w:val="Heading2"/>
      </w:pPr>
      <w:r>
        <w:t xml:space="preserve">v5.2 — Ajustements métier (semaines 9-12)</w:t>
      </w:r>
    </w:p>
    <w:p>
      <w:pPr>
        <w:numPr>
          <w:ilvl w:val="0"/>
          <w:numId w:val="1008"/>
        </w:numPr>
        <w:pStyle w:val="Compact"/>
      </w:pPr>
      <w:r>
        <w:t xml:space="preserve">Nouveaux types de documents suite aux retours (ex. attestation sociale secteur privé, certificats qualité)</w:t>
      </w:r>
    </w:p>
    <w:p>
      <w:pPr>
        <w:numPr>
          <w:ilvl w:val="0"/>
          <w:numId w:val="1008"/>
        </w:numPr>
        <w:pStyle w:val="Compact"/>
      </w:pPr>
      <w:r>
        <w:t xml:space="preserve">Nouveaux templates de chiffrage sur demande pilote (ex. électricité, plomberie pure)</w:t>
      </w:r>
    </w:p>
    <w:p>
      <w:pPr>
        <w:numPr>
          <w:ilvl w:val="0"/>
          <w:numId w:val="1008"/>
        </w:numPr>
        <w:pStyle w:val="Compact"/>
      </w:pPr>
      <w:r>
        <w:t xml:space="preserve">Ajouts règles d’audit selon retours terrain</w:t>
      </w:r>
    </w:p>
    <w:bookmarkEnd w:id="30"/>
    <w:bookmarkStart w:id="31" w:name="v5.3-polish-semaines-13-16"/>
    <w:p>
      <w:pPr>
        <w:pStyle w:val="Heading2"/>
      </w:pPr>
      <w:r>
        <w:t xml:space="preserve">v5.3 — Polish (semaines 13-16)</w:t>
      </w:r>
    </w:p>
    <w:p>
      <w:pPr>
        <w:numPr>
          <w:ilvl w:val="0"/>
          <w:numId w:val="1009"/>
        </w:numPr>
        <w:pStyle w:val="Compact"/>
      </w:pPr>
      <w:r>
        <w:t xml:space="preserve">Génération DOCX : améliorations de mise en page suite retours</w:t>
      </w:r>
    </w:p>
    <w:p>
      <w:pPr>
        <w:numPr>
          <w:ilvl w:val="0"/>
          <w:numId w:val="1009"/>
        </w:numPr>
        <w:pStyle w:val="Compact"/>
      </w:pPr>
      <w:r>
        <w:t xml:space="preserve">Export Excel du DQE en plus du CSV</w:t>
      </w:r>
    </w:p>
    <w:p>
      <w:pPr>
        <w:numPr>
          <w:ilvl w:val="0"/>
          <w:numId w:val="1009"/>
        </w:numPr>
        <w:pStyle w:val="Compact"/>
      </w:pPr>
      <w:r>
        <w:t xml:space="preserve">Améliorations du Kanban (filtres, tri)</w:t>
      </w:r>
    </w:p>
    <w:bookmarkEnd w:id="31"/>
    <w:bookmarkEnd w:id="32"/>
    <w:bookmarkStart w:id="33" w:name="X87fcb9efde4c5028ff24307377e9709ba153fa0"/>
    <w:p>
      <w:pPr>
        <w:pStyle w:val="Heading1"/>
      </w:pPr>
      <w:r>
        <w:t xml:space="preserve">Phase 4 — Conversion pilotes en payant (semaines 12-16)</w:t>
      </w:r>
    </w:p>
    <w:p>
      <w:pPr>
        <w:pStyle w:val="FirstParagraph"/>
      </w:pPr>
      <w:r>
        <w:t xml:space="preserve">Décision go/no-go commerciale à la fin du pilote. Critères de succès :</w:t>
      </w:r>
    </w:p>
    <w:p>
      <w:pPr>
        <w:numPr>
          <w:ilvl w:val="0"/>
          <w:numId w:val="1010"/>
        </w:numPr>
        <w:pStyle w:val="Compact"/>
      </w:pPr>
      <w:r>
        <w:t xml:space="preserve">Au moins</w:t>
      </w:r>
      <w:r>
        <w:t xml:space="preserve"> </w:t>
      </w:r>
      <w:r>
        <w:rPr>
          <w:bCs/>
          <w:b/>
        </w:rPr>
        <w:t xml:space="preserve">3 des 4 pilotes</w:t>
      </w:r>
      <w:r>
        <w:t xml:space="preserve"> </w:t>
      </w:r>
      <w:r>
        <w:t xml:space="preserve">acceptent de passer en abonnement payant</w:t>
      </w:r>
    </w:p>
    <w:p>
      <w:pPr>
        <w:numPr>
          <w:ilvl w:val="0"/>
          <w:numId w:val="1010"/>
        </w:numPr>
        <w:pStyle w:val="Compact"/>
      </w:pPr>
      <w:r>
        <w:t xml:space="preserve">NPS moyen ≥ 7/10</w:t>
      </w:r>
    </w:p>
    <w:p>
      <w:pPr>
        <w:numPr>
          <w:ilvl w:val="0"/>
          <w:numId w:val="1010"/>
        </w:numPr>
        <w:pStyle w:val="Compact"/>
      </w:pPr>
      <w:r>
        <w:t xml:space="preserve">Gain de temps moyen perçu ≥ 30 % sur la préparation d’un dossier</w:t>
      </w:r>
    </w:p>
    <w:p>
      <w:pPr>
        <w:pStyle w:val="FirstParagraph"/>
      </w:pPr>
      <w:r>
        <w:t xml:space="preserve">Si go : facturation dès la semaine 17, pilotes facturés au tarif normal.</w:t>
      </w:r>
    </w:p>
    <w:bookmarkEnd w:id="33"/>
    <w:bookmarkStart w:id="39" w:name="phase-5-v6.0-mois-5-8"/>
    <w:p>
      <w:pPr>
        <w:pStyle w:val="Heading1"/>
      </w:pPr>
      <w:r>
        <w:t xml:space="preserve">Phase 5 — v6.0 (mois 5-8)</w:t>
      </w:r>
    </w:p>
    <w:p>
      <w:pPr>
        <w:pStyle w:val="FirstParagraph"/>
      </w:pPr>
      <w:r>
        <w:t xml:space="preserve">Développement majeur à condition que les pilotes convertissent. Thèmes :</w:t>
      </w:r>
    </w:p>
    <w:bookmarkStart w:id="34" w:name="v6.0-scale-et-hébergement"/>
    <w:p>
      <w:pPr>
        <w:pStyle w:val="Heading2"/>
      </w:pPr>
      <w:r>
        <w:t xml:space="preserve">v6.0 — Scale et hébergement</w:t>
      </w:r>
    </w:p>
    <w:p>
      <w:pPr>
        <w:numPr>
          <w:ilvl w:val="0"/>
          <w:numId w:val="1011"/>
        </w:numPr>
        <w:pStyle w:val="Compact"/>
      </w:pPr>
      <w:r>
        <w:t xml:space="preserve">Passage en hébergement cloud Algérie (mode 3 du document 05)</w:t>
      </w:r>
    </w:p>
    <w:p>
      <w:pPr>
        <w:numPr>
          <w:ilvl w:val="0"/>
          <w:numId w:val="1011"/>
        </w:numPr>
        <w:pStyle w:val="Compact"/>
      </w:pPr>
      <w:r>
        <w:t xml:space="preserve">Migration à PostgreSQL obligatoire</w:t>
      </w:r>
    </w:p>
    <w:p>
      <w:pPr>
        <w:numPr>
          <w:ilvl w:val="0"/>
          <w:numId w:val="1011"/>
        </w:numPr>
        <w:pStyle w:val="Compact"/>
      </w:pPr>
      <w:r>
        <w:t xml:space="preserve">Mise en place monitoring (Sentry alternative, Prometheus)</w:t>
      </w:r>
    </w:p>
    <w:p>
      <w:pPr>
        <w:numPr>
          <w:ilvl w:val="0"/>
          <w:numId w:val="1011"/>
        </w:numPr>
        <w:pStyle w:val="Compact"/>
      </w:pPr>
      <w:r>
        <w:t xml:space="preserve">Plan de reprise d’activité (PRA)</w:t>
      </w:r>
    </w:p>
    <w:bookmarkEnd w:id="34"/>
    <w:bookmarkStart w:id="35" w:name="v6.0-paiement-en-ligne"/>
    <w:p>
      <w:pPr>
        <w:pStyle w:val="Heading2"/>
      </w:pPr>
      <w:r>
        <w:t xml:space="preserve">v6.0 — Paiement en ligne</w:t>
      </w:r>
    </w:p>
    <w:p>
      <w:pPr>
        <w:numPr>
          <w:ilvl w:val="0"/>
          <w:numId w:val="1012"/>
        </w:numPr>
        <w:pStyle w:val="Compact"/>
      </w:pPr>
      <w:r>
        <w:t xml:space="preserve">Intégration</w:t>
      </w:r>
      <w:r>
        <w:t xml:space="preserve"> </w:t>
      </w:r>
      <w:r>
        <w:rPr>
          <w:bCs/>
          <w:b/>
        </w:rPr>
        <w:t xml:space="preserve">Satim / Edahabia</w:t>
      </w:r>
      <w:r>
        <w:t xml:space="preserve"> </w:t>
      </w:r>
      <w:r>
        <w:t xml:space="preserve">réelle (mockée en v5.0)</w:t>
      </w:r>
    </w:p>
    <w:p>
      <w:pPr>
        <w:numPr>
          <w:ilvl w:val="0"/>
          <w:numId w:val="1012"/>
        </w:numPr>
        <w:pStyle w:val="Compact"/>
      </w:pPr>
      <w:r>
        <w:t xml:space="preserve">Spécifications Satim à obtenir (contrat commerçant + certification technique)</w:t>
      </w:r>
    </w:p>
    <w:p>
      <w:pPr>
        <w:numPr>
          <w:ilvl w:val="0"/>
          <w:numId w:val="1012"/>
        </w:numPr>
        <w:pStyle w:val="Compact"/>
      </w:pPr>
      <w:r>
        <w:t xml:space="preserve">Tests sandbox, puis production</w:t>
      </w:r>
    </w:p>
    <w:bookmarkEnd w:id="35"/>
    <w:bookmarkStart w:id="36" w:name="v6.0-ia-assistance-à-la-rédaction"/>
    <w:p>
      <w:pPr>
        <w:pStyle w:val="Heading2"/>
      </w:pPr>
      <w:r>
        <w:t xml:space="preserve">v6.0 — IA assistance à la rédaction</w:t>
      </w:r>
    </w:p>
    <w:p>
      <w:pPr>
        <w:numPr>
          <w:ilvl w:val="0"/>
          <w:numId w:val="1013"/>
        </w:numPr>
        <w:pStyle w:val="Compact"/>
      </w:pPr>
      <w:r>
        <w:t xml:space="preserve">Module IA pour</w:t>
      </w:r>
      <w:r>
        <w:t xml:space="preserve"> </w:t>
      </w:r>
      <w:r>
        <w:rPr>
          <w:bCs/>
          <w:b/>
        </w:rPr>
        <w:t xml:space="preserve">suggestions</w:t>
      </w:r>
      <w:r>
        <w:t xml:space="preserve"> </w:t>
      </w:r>
      <w:r>
        <w:t xml:space="preserve">dans le mémoire technique (non bloquant, désactivable)</w:t>
      </w:r>
    </w:p>
    <w:p>
      <w:pPr>
        <w:numPr>
          <w:ilvl w:val="0"/>
          <w:numId w:val="1013"/>
        </w:numPr>
        <w:pStyle w:val="Compact"/>
      </w:pPr>
      <w:r>
        <w:t xml:space="preserve">Classification automatique d’AO par catégorie et niveau de difficulté</w:t>
      </w:r>
    </w:p>
    <w:p>
      <w:pPr>
        <w:numPr>
          <w:ilvl w:val="0"/>
          <w:numId w:val="1013"/>
        </w:numPr>
        <w:pStyle w:val="Compact"/>
      </w:pPr>
      <w:r>
        <w:t xml:space="preserve">Note technique prédite vs historique</w:t>
      </w:r>
    </w:p>
    <w:p>
      <w:pPr>
        <w:numPr>
          <w:ilvl w:val="0"/>
          <w:numId w:val="1013"/>
        </w:numPr>
        <w:pStyle w:val="Compact"/>
      </w:pPr>
      <w:r>
        <w:t xml:space="preserve">Choix LLM à faire (open source pour souveraineté ? Claude API ? hybride ?)</w:t>
      </w:r>
    </w:p>
    <w:bookmarkEnd w:id="36"/>
    <w:bookmarkStart w:id="37" w:name="v6.0-api-publique-et-webhooks"/>
    <w:p>
      <w:pPr>
        <w:pStyle w:val="Heading2"/>
      </w:pPr>
      <w:r>
        <w:t xml:space="preserve">v6.0 — API publique et webhooks</w:t>
      </w:r>
    </w:p>
    <w:p>
      <w:pPr>
        <w:numPr>
          <w:ilvl w:val="0"/>
          <w:numId w:val="1014"/>
        </w:numPr>
        <w:pStyle w:val="Compact"/>
      </w:pPr>
      <w:r>
        <w:t xml:space="preserve">API publique documentée pour intégrations ERP comptabilité</w:t>
      </w:r>
    </w:p>
    <w:p>
      <w:pPr>
        <w:numPr>
          <w:ilvl w:val="0"/>
          <w:numId w:val="1014"/>
        </w:numPr>
        <w:pStyle w:val="Compact"/>
      </w:pPr>
      <w:r>
        <w:t xml:space="preserve">Webhooks sortants (ex. notification sur nouveau document expirant)</w:t>
      </w:r>
    </w:p>
    <w:p>
      <w:pPr>
        <w:numPr>
          <w:ilvl w:val="0"/>
          <w:numId w:val="1014"/>
        </w:numPr>
        <w:pStyle w:val="Compact"/>
      </w:pPr>
      <w:r>
        <w:t xml:space="preserve">Clés API par organisation, rotation gérée</w:t>
      </w:r>
    </w:p>
    <w:bookmarkEnd w:id="37"/>
    <w:bookmarkStart w:id="38" w:name="v6.0-mobile-natif-ou-pwa"/>
    <w:p>
      <w:pPr>
        <w:pStyle w:val="Heading2"/>
      </w:pPr>
      <w:r>
        <w:t xml:space="preserve">v6.0 — Mobile natif ou PWA</w:t>
      </w:r>
    </w:p>
    <w:p>
      <w:pPr>
        <w:numPr>
          <w:ilvl w:val="0"/>
          <w:numId w:val="1015"/>
        </w:numPr>
        <w:pStyle w:val="Compact"/>
      </w:pPr>
      <w:r>
        <w:t xml:space="preserve">Analyse besoin mobile après feedback pilote</w:t>
      </w:r>
    </w:p>
    <w:p>
      <w:pPr>
        <w:numPr>
          <w:ilvl w:val="0"/>
          <w:numId w:val="1015"/>
        </w:numPr>
        <w:pStyle w:val="Compact"/>
      </w:pPr>
      <w:r>
        <w:t xml:space="preserve">Si besoin confirmé : PWA d’abord (pas de store), app native si justifié</w:t>
      </w:r>
    </w:p>
    <w:bookmarkEnd w:id="38"/>
    <w:bookmarkEnd w:id="39"/>
    <w:bookmarkStart w:id="40" w:name="phase-6-v7-et-au-delà-mois-9"/>
    <w:p>
      <w:pPr>
        <w:pStyle w:val="Heading1"/>
      </w:pPr>
      <w:r>
        <w:t xml:space="preserve">Phase 6 — v7 et au-delà (mois 9+)</w:t>
      </w:r>
    </w:p>
    <w:p>
      <w:pPr>
        <w:pStyle w:val="FirstParagraph"/>
      </w:pPr>
      <w:r>
        <w:t xml:space="preserve">Hypothèses à tester 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Marketplace d’assistants</w:t>
      </w:r>
      <w:r>
        <w:t xml:space="preserve"> </w:t>
      </w:r>
      <w:r>
        <w:t xml:space="preserve">: ouvrir le Cas 3 à des assistants indépendants (pas seulement agréés plateforme), commission plateforme 15-20 %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Module formation</w:t>
      </w:r>
      <w:r>
        <w:t xml:space="preserve"> </w:t>
      </w:r>
      <w:r>
        <w:t xml:space="preserve">: capsules vidéo sur « comment répondre à un AO de routes », « comment chiffrer un LPP », monétisation par module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Intégration avec services e-gov DZ</w:t>
      </w:r>
      <w:r>
        <w:t xml:space="preserve"> </w:t>
      </w:r>
      <w:r>
        <w:t xml:space="preserve">: dépôt électronique des dossiers si le cadre réglementaire évolue (suivre les annonces ANPM)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Export Maghreb</w:t>
      </w:r>
      <w:r>
        <w:t xml:space="preserve"> </w:t>
      </w:r>
      <w:r>
        <w:t xml:space="preserve">: Maroc et Tunisie ont des marchés similaires avec adaptations (Maroc : Pharme, Tunisie : TUNEPS). Analyse d’opportunité seulement après succès stabilisé en Algérie.</w:t>
      </w:r>
    </w:p>
    <w:bookmarkEnd w:id="40"/>
    <w:bookmarkStart w:id="41" w:name="risques-identifiés-et-mitigations"/>
    <w:p>
      <w:pPr>
        <w:pStyle w:val="Heading1"/>
      </w:pPr>
      <w:r>
        <w:t xml:space="preserve">Risques identifiés et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53"/>
        <w:gridCol w:w="770"/>
        <w:gridCol w:w="420"/>
        <w:gridCol w:w="3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local lance produit similaire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Vitesse d’exécution, premium en service pilote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Évolution réglementaire marchés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active, architecture modulaire sur formulaires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pilote abandonne sans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Pilote backup en standby (Nadia Omega)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 Satim bloque 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Garder mode</w:t>
            </w:r>
            <w:r>
              <w:t xml:space="preserve"> </w:t>
            </w:r>
            <w:r>
              <w:t xml:space="preserve">“</w:t>
            </w:r>
            <w:r>
              <w:t xml:space="preserve">virement simple</w:t>
            </w:r>
            <w:r>
              <w:t xml:space="preserve">”</w:t>
            </w:r>
            <w:r>
              <w:t xml:space="preserve"> </w:t>
            </w:r>
            <w:r>
              <w:t xml:space="preserve">en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pilote dépasse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PostgreSQL déjà testée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de sécurité (fuite données)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sécurité, audit externe 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 ARPCE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juridique, avocat conseil identifié</w:t>
            </w:r>
          </w:p>
        </w:tc>
      </w:tr>
    </w:tbl>
    <w:bookmarkEnd w:id="41"/>
    <w:bookmarkStart w:id="42" w:name="kpis-pilotage"/>
    <w:p>
      <w:pPr>
        <w:pStyle w:val="Heading1"/>
      </w:pPr>
      <w:r>
        <w:t xml:space="preserve">KPIs pilotage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83"/>
        <w:gridCol w:w="1218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Pilotes signés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Pilotes actifs hebdo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Pilotes convertis en payant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Entreprises payantes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 (Monthly Recurring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 kDA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200-400 kDA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moyen préparation dossier (vs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Incidents de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42"/>
    <w:bookmarkStart w:id="43" w:name="points-de-vigilance-continue"/>
    <w:p>
      <w:pPr>
        <w:pStyle w:val="Heading1"/>
      </w:pPr>
      <w:r>
        <w:t xml:space="preserve">Points de vigilance continue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 pas construire en avance</w:t>
      </w:r>
      <w:r>
        <w:t xml:space="preserve"> </w:t>
      </w:r>
      <w:r>
        <w:t xml:space="preserve">de feedback — chaque fonctionnalité v5.x doit venir d’un retour pilote précis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 pas fragmenter</w:t>
      </w:r>
      <w:r>
        <w:t xml:space="preserve"> </w:t>
      </w:r>
      <w:r>
        <w:t xml:space="preserve">l’architecture prématurément — rester monolithe tant que 1 seul serveur suffit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 pas négliger le support</w:t>
      </w:r>
      <w:r>
        <w:t xml:space="preserve"> </w:t>
      </w:r>
      <w:r>
        <w:t xml:space="preserve">— un pilote qui attend 48 h pour un bug lâche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 pas baisser la garde sur la sécurité</w:t>
      </w:r>
      <w:r>
        <w:t xml:space="preserve"> </w:t>
      </w:r>
      <w:r>
        <w:t xml:space="preserve">— les 4 garanties G1-G4 restent le socle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 pas renier les contraintes</w:t>
      </w:r>
      <w:r>
        <w:t xml:space="preserve"> </w:t>
      </w:r>
      <w:r>
        <w:t xml:space="preserve">— hébergement DZ, pas d’arabe, pas d’IA v5, fiscalité DZ respectée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Roadmap</dc:title>
  <dc:creator>Belhof — Fondateur</dc:creator>
  <cp:keywords/>
  <dcterms:created xsi:type="dcterms:W3CDTF">2026-04-13T18:36:18Z</dcterms:created>
  <dcterms:modified xsi:type="dcterms:W3CDTF">2026-04-13T18:36:18Z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Actions post-v5.0, préparation v6, horizon 12 mois</vt:lpwstr>
  </property>
</Properties>
</file>