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Parcours</w:t>
      </w:r>
      <w:r>
        <w:t xml:space="preserve"> </w:t>
      </w:r>
      <w:r>
        <w:t xml:space="preserve">client</w:t>
      </w:r>
      <w:r>
        <w:t xml:space="preserve"> </w:t>
      </w:r>
      <w:r>
        <w:t xml:space="preserve">complet</w:t>
      </w:r>
    </w:p>
    <w:p>
      <w:pPr>
        <w:pStyle w:val="Subtitle"/>
      </w:pP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découverte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fidélisation,</w:t>
      </w:r>
      <w:r>
        <w:t xml:space="preserve"> </w:t>
      </w:r>
      <w:r>
        <w:t xml:space="preserve">flux</w:t>
      </w:r>
      <w:r>
        <w:t xml:space="preserve"> </w:t>
      </w:r>
      <w:r>
        <w:t xml:space="preserve">end-to-end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f-du-document"/>
    <w:p>
      <w:pPr>
        <w:pStyle w:val="Heading1"/>
      </w:pPr>
      <w:r>
        <w:t xml:space="preserve">Objectif du document</w:t>
      </w:r>
    </w:p>
    <w:p>
      <w:pPr>
        <w:pStyle w:val="FirstParagraph"/>
      </w:pPr>
      <w:r>
        <w:t xml:space="preserve">Ce document détaille le parcours complet d’un client de SOUMISSION.DZ, depuis le premier contact jusqu’à la fidélisation long terme, en passant par l’usage quotidien. Il s’adresse autant à l’équipe commerciale qu’à l’équipe produit.</w:t>
      </w:r>
    </w:p>
    <w:bookmarkEnd w:id="20"/>
    <w:bookmarkStart w:id="24" w:name="étape-0-découverte"/>
    <w:p>
      <w:pPr>
        <w:pStyle w:val="Heading1"/>
      </w:pPr>
      <w:r>
        <w:t xml:space="preserve">Étape 0 — Découverte</w:t>
      </w:r>
    </w:p>
    <w:bookmarkStart w:id="21" w:name="canaux-de-découverte"/>
    <w:p>
      <w:pPr>
        <w:pStyle w:val="Heading2"/>
      </w:pPr>
      <w:r>
        <w:t xml:space="preserve">Canaux de découverte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Bouche à oreille</w:t>
      </w:r>
      <w:r>
        <w:t xml:space="preserve"> </w:t>
      </w:r>
      <w:r>
        <w:t xml:space="preserve">dans les milieux BTPH et études (prospection initiale faite par Belhof auprès de 10 contacts)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Salons professionnels</w:t>
      </w:r>
      <w:r>
        <w:t xml:space="preserve"> </w:t>
      </w:r>
      <w:r>
        <w:t xml:space="preserve">: Batimatec (Alger), salon de l’entreprise algérienne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Presse professionnelle</w:t>
      </w:r>
      <w:r>
        <w:t xml:space="preserve"> </w:t>
      </w:r>
      <w:r>
        <w:t xml:space="preserve">: articles dans magazines techniques (Journal du BTP DZ,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Réseau consultants</w:t>
      </w:r>
      <w:r>
        <w:t xml:space="preserve"> </w:t>
      </w:r>
      <w:r>
        <w:t xml:space="preserve">: un consultant Cas 2 recommande à plusieurs de ses clients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Référencement web</w:t>
      </w:r>
      <w:r>
        <w:t xml:space="preserve"> </w:t>
      </w:r>
      <w:r>
        <w:t xml:space="preserve">(mineur en v5.0, à renforcer en v6)</w:t>
      </w:r>
    </w:p>
    <w:bookmarkEnd w:id="21"/>
    <w:bookmarkStart w:id="22" w:name="premier-contact"/>
    <w:p>
      <w:pPr>
        <w:pStyle w:val="Heading2"/>
      </w:pPr>
      <w:r>
        <w:t xml:space="preserve">Premier contact</w:t>
      </w:r>
    </w:p>
    <w:p>
      <w:pPr>
        <w:pStyle w:val="FirstParagraph"/>
      </w:pPr>
      <w:r>
        <w:t xml:space="preserve">Le prospect visite</w:t>
      </w:r>
      <w:r>
        <w:t xml:space="preserve"> </w:t>
      </w:r>
      <w:r>
        <w:rPr>
          <w:rStyle w:val="VerbatimChar"/>
        </w:rPr>
        <w:t xml:space="preserve">soumission.dz</w:t>
      </w:r>
      <w:r>
        <w:t xml:space="preserve"> </w:t>
      </w:r>
      <w:r>
        <w:t xml:space="preserve">(site vitrine, hors périmètre v5.0 technique) ou est contacté en direct. Il demande une démonstration.</w:t>
      </w:r>
    </w:p>
    <w:bookmarkEnd w:id="22"/>
    <w:bookmarkStart w:id="23" w:name="démonstration"/>
    <w:p>
      <w:pPr>
        <w:pStyle w:val="Heading2"/>
      </w:pPr>
      <w:r>
        <w:t xml:space="preserve">Démonstration</w:t>
      </w:r>
    </w:p>
    <w:p>
      <w:pPr>
        <w:pStyle w:val="FirstParagraph"/>
      </w:pPr>
      <w:r>
        <w:t xml:space="preserve">30-45 minutes en présentiel ou visio, scénario type :</w:t>
      </w:r>
    </w:p>
    <w:p>
      <w:pPr>
        <w:numPr>
          <w:ilvl w:val="0"/>
          <w:numId w:val="1002"/>
        </w:numPr>
        <w:pStyle w:val="Compact"/>
      </w:pPr>
      <w:r>
        <w:t xml:space="preserve">Connexion avec le compte démo</w:t>
      </w:r>
      <w:r>
        <w:t xml:space="preserve"> </w:t>
      </w:r>
      <w:r>
        <w:rPr>
          <w:rStyle w:val="VerbatimChar"/>
        </w:rPr>
        <w:t xml:space="preserve">brahim@alpha-btph.dz</w:t>
      </w:r>
      <w:r>
        <w:t xml:space="preserve"> </w:t>
      </w:r>
      <w:r>
        <w:t xml:space="preserve">— 1 min</w:t>
      </w:r>
    </w:p>
    <w:p>
      <w:pPr>
        <w:numPr>
          <w:ilvl w:val="0"/>
          <w:numId w:val="1002"/>
        </w:numPr>
        <w:pStyle w:val="Compact"/>
      </w:pPr>
      <w:r>
        <w:t xml:space="preserve">Dashboard pré-rempli : 4 AO, 14 documents, 3 alertes → l’outil</w:t>
      </w:r>
      <w:r>
        <w:t xml:space="preserve"> </w:t>
      </w:r>
      <w:r>
        <w:t xml:space="preserve">“</w:t>
      </w:r>
      <w:r>
        <w:t xml:space="preserve">parle tout seul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Tour du coffre-fort :</w:t>
      </w:r>
      <w:r>
        <w:t xml:space="preserve"> </w:t>
      </w:r>
      <w:r>
        <w:t xml:space="preserve">“</w:t>
      </w:r>
      <w:r>
        <w:t xml:space="preserve">voici toutes les pièces que l’administration va demander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Import d’un vrai AO du prospect depuis son PDF → extraction automatique des champs</w:t>
      </w:r>
    </w:p>
    <w:p>
      <w:pPr>
        <w:numPr>
          <w:ilvl w:val="0"/>
          <w:numId w:val="1002"/>
        </w:numPr>
        <w:pStyle w:val="Compact"/>
      </w:pPr>
      <w:r>
        <w:t xml:space="preserve">Lancement de l’audit : 25 règles, score, détection des risques →</w:t>
      </w:r>
      <w:r>
        <w:t xml:space="preserve"> </w:t>
      </w:r>
      <w:r>
        <w:t xml:space="preserve">“</w:t>
      </w:r>
      <w:r>
        <w:t xml:space="preserve">vous auriez raté ça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Chiffrage : simulateur de prix avec verdicts fourchettes marché</w:t>
      </w:r>
    </w:p>
    <w:p>
      <w:pPr>
        <w:numPr>
          <w:ilvl w:val="0"/>
          <w:numId w:val="1002"/>
        </w:numPr>
        <w:pStyle w:val="Compact"/>
      </w:pPr>
      <w:r>
        <w:t xml:space="preserve">Génération du mémoire DOCX : ouvert dans Word pour montrer le résultat</w:t>
      </w:r>
    </w:p>
    <w:p>
      <w:pPr>
        <w:numPr>
          <w:ilvl w:val="0"/>
          <w:numId w:val="1002"/>
        </w:numPr>
        <w:pStyle w:val="Compact"/>
      </w:pPr>
      <w:r>
        <w:t xml:space="preserve">Facturation et plans : comparaison des 6 niveaux, recommandation selon taille</w:t>
      </w:r>
    </w:p>
    <w:p>
      <w:pPr>
        <w:pStyle w:val="FirstParagraph"/>
      </w:pPr>
      <w:r>
        <w:t xml:space="preserve">Sortie : demande d’essai sur LOI (pilote gratuit 8-12 semaines) ou engagement direct au tarif.</w:t>
      </w:r>
    </w:p>
    <w:bookmarkEnd w:id="23"/>
    <w:bookmarkEnd w:id="24"/>
    <w:bookmarkStart w:id="30" w:name="étape-1-signup-et-onboarding"/>
    <w:p>
      <w:pPr>
        <w:pStyle w:val="Heading1"/>
      </w:pPr>
      <w:r>
        <w:t xml:space="preserve">Étape 1 — Signup et onboarding</w:t>
      </w:r>
    </w:p>
    <w:bookmarkStart w:id="28" w:name="création-de-compte"/>
    <w:p>
      <w:pPr>
        <w:pStyle w:val="Heading2"/>
      </w:pPr>
      <w:r>
        <w:t xml:space="preserve">Création de compte</w:t>
      </w:r>
    </w:p>
    <w:bookmarkStart w:id="25" w:name="cas-1-entreprise-autonome"/>
    <w:p>
      <w:pPr>
        <w:pStyle w:val="Heading3"/>
      </w:pPr>
      <w:r>
        <w:t xml:space="preserve">Cas 1 — Entreprise autonome</w:t>
      </w:r>
    </w:p>
    <w:p>
      <w:pPr>
        <w:pStyle w:val="FirstParagraph"/>
      </w:pPr>
      <w:r>
        <w:t xml:space="preserve">Formulaire (UI</w:t>
      </w:r>
      <w:r>
        <w:t xml:space="preserve"> </w:t>
      </w:r>
      <w:r>
        <w:rPr>
          <w:rStyle w:val="VerbatimChar"/>
        </w:rPr>
        <w:t xml:space="preserve">/signup/entreprise</w:t>
      </w:r>
      <w:r>
        <w:t xml:space="preserve">) :</w:t>
      </w:r>
    </w:p>
    <w:p>
      <w:pPr>
        <w:numPr>
          <w:ilvl w:val="0"/>
          <w:numId w:val="1003"/>
        </w:numPr>
        <w:pStyle w:val="Compact"/>
      </w:pPr>
      <w:r>
        <w:t xml:space="preserve">Email professionnel + mot de passe + confirmation</w:t>
      </w:r>
    </w:p>
    <w:p>
      <w:pPr>
        <w:numPr>
          <w:ilvl w:val="0"/>
          <w:numId w:val="1003"/>
        </w:numPr>
        <w:pStyle w:val="Compact"/>
      </w:pPr>
      <w:r>
        <w:t xml:space="preserve">Nom de l’entreprise, forme juridique (SARL/SPA/EURL/SNC/ETI/AUTO-ENTREPRENEUR)</w:t>
      </w:r>
    </w:p>
    <w:p>
      <w:pPr>
        <w:numPr>
          <w:ilvl w:val="0"/>
          <w:numId w:val="1003"/>
        </w:numPr>
        <w:pStyle w:val="Compact"/>
      </w:pPr>
      <w:r>
        <w:t xml:space="preserve">NIF, NIS, RC</w:t>
      </w:r>
    </w:p>
    <w:p>
      <w:pPr>
        <w:numPr>
          <w:ilvl w:val="0"/>
          <w:numId w:val="1003"/>
        </w:numPr>
        <w:pStyle w:val="Compact"/>
      </w:pPr>
      <w:r>
        <w:t xml:space="preserve">Wilaya (liste déroulante 48 wilayas)</w:t>
      </w:r>
    </w:p>
    <w:p>
      <w:pPr>
        <w:numPr>
          <w:ilvl w:val="0"/>
          <w:numId w:val="1003"/>
        </w:numPr>
        <w:pStyle w:val="Compact"/>
      </w:pPr>
      <w:r>
        <w:t xml:space="preserve">Adresse, téléphone</w:t>
      </w:r>
    </w:p>
    <w:p>
      <w:pPr>
        <w:numPr>
          <w:ilvl w:val="0"/>
          <w:numId w:val="1003"/>
        </w:numPr>
        <w:pStyle w:val="Compact"/>
      </w:pPr>
      <w:r>
        <w:t xml:space="preserve">Secteur, activité, effectif, CA moyen</w:t>
      </w:r>
    </w:p>
    <w:p>
      <w:pPr>
        <w:numPr>
          <w:ilvl w:val="0"/>
          <w:numId w:val="1003"/>
        </w:numPr>
        <w:pStyle w:val="Compact"/>
      </w:pPr>
      <w:r>
        <w:t xml:space="preserve">Qualification si BTPH (catégorie + date d’expiration)</w:t>
      </w:r>
    </w:p>
    <w:p>
      <w:pPr>
        <w:numPr>
          <w:ilvl w:val="0"/>
          <w:numId w:val="1003"/>
        </w:numPr>
        <w:pStyle w:val="Compact"/>
      </w:pPr>
      <w:r>
        <w:t xml:space="preserve">Checkbox CGU et consentement loi 18-07 (obligatoires)</w:t>
      </w:r>
    </w:p>
    <w:p>
      <w:pPr>
        <w:pStyle w:val="FirstParagraph"/>
      </w:pPr>
      <w:r>
        <w:t xml:space="preserve">Backend :</w:t>
      </w:r>
    </w:p>
    <w:p>
      <w:pPr>
        <w:numPr>
          <w:ilvl w:val="0"/>
          <w:numId w:val="1004"/>
        </w:numPr>
        <w:pStyle w:val="Compact"/>
      </w:pPr>
      <w:r>
        <w:t xml:space="preserve">Validation Pydantic (email valide, mots de passe ≥ 8 caractères, NIF 15 chiffres)</w:t>
      </w:r>
    </w:p>
    <w:p>
      <w:pPr>
        <w:numPr>
          <w:ilvl w:val="0"/>
          <w:numId w:val="1004"/>
        </w:numPr>
        <w:pStyle w:val="Compact"/>
      </w:pPr>
      <w:r>
        <w:t xml:space="preserve">Création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type=ENTREPRISE avec plan par défaut DECOUVERTE (14 j gratuit)</w:t>
      </w:r>
    </w:p>
    <w:p>
      <w:pPr>
        <w:numPr>
          <w:ilvl w:val="0"/>
          <w:numId w:val="1004"/>
        </w:numPr>
        <w:pStyle w:val="Compact"/>
      </w:pPr>
      <w:r>
        <w:t xml:space="preserve">Création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liée</w:t>
      </w:r>
    </w:p>
    <w:p>
      <w:pPr>
        <w:numPr>
          <w:ilvl w:val="0"/>
          <w:numId w:val="1004"/>
        </w:numPr>
        <w:pStyle w:val="Compact"/>
      </w:pPr>
      <w:r>
        <w:t xml:space="preserve">Création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role=PATRON avec</w:t>
      </w:r>
      <w:r>
        <w:t xml:space="preserve"> </w:t>
      </w:r>
      <w:r>
        <w:rPr>
          <w:rStyle w:val="VerbatimChar"/>
        </w:rPr>
        <w:t xml:space="preserve">consent_at=now()</w:t>
      </w:r>
    </w:p>
    <w:p>
      <w:pPr>
        <w:numPr>
          <w:ilvl w:val="0"/>
          <w:numId w:val="1004"/>
        </w:numPr>
        <w:pStyle w:val="Compact"/>
      </w:pPr>
      <w:r>
        <w:t xml:space="preserve">Génération JWT et retour au client</w:t>
      </w:r>
    </w:p>
    <w:bookmarkEnd w:id="25"/>
    <w:bookmarkStart w:id="26" w:name="cas-2-cabinet-consultant"/>
    <w:p>
      <w:pPr>
        <w:pStyle w:val="Heading3"/>
      </w:pPr>
      <w:r>
        <w:t xml:space="preserve">Cas 2 — Cabinet consultant</w:t>
      </w:r>
    </w:p>
    <w:p>
      <w:pPr>
        <w:pStyle w:val="FirstParagraph"/>
      </w:pPr>
      <w:r>
        <w:t xml:space="preserve">Formulaire (UI</w:t>
      </w:r>
      <w:r>
        <w:t xml:space="preserve"> </w:t>
      </w:r>
      <w:r>
        <w:rPr>
          <w:rStyle w:val="VerbatimChar"/>
        </w:rPr>
        <w:t xml:space="preserve">/signup/cabinet</w:t>
      </w:r>
      <w:r>
        <w:t xml:space="preserve">) :</w:t>
      </w:r>
    </w:p>
    <w:p>
      <w:pPr>
        <w:numPr>
          <w:ilvl w:val="0"/>
          <w:numId w:val="1005"/>
        </w:numPr>
        <w:pStyle w:val="Compact"/>
      </w:pPr>
      <w:r>
        <w:t xml:space="preserve">Email, mot de passe</w:t>
      </w:r>
    </w:p>
    <w:p>
      <w:pPr>
        <w:numPr>
          <w:ilvl w:val="0"/>
          <w:numId w:val="1005"/>
        </w:numPr>
        <w:pStyle w:val="Compact"/>
      </w:pPr>
      <w:r>
        <w:t xml:space="preserve">Nom du cabinet, nom du consultant principal</w:t>
      </w:r>
    </w:p>
    <w:p>
      <w:pPr>
        <w:numPr>
          <w:ilvl w:val="0"/>
          <w:numId w:val="1005"/>
        </w:numPr>
        <w:pStyle w:val="Compact"/>
      </w:pPr>
      <w:r>
        <w:t xml:space="preserve">NIF du cabinet, wilaya, téléphone</w:t>
      </w:r>
    </w:p>
    <w:p>
      <w:pPr>
        <w:pStyle w:val="FirstParagraph"/>
      </w:pPr>
      <w:r>
        <w:t xml:space="preserve">Backend similaire : création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type=CABINET,</w:t>
      </w:r>
      <w:r>
        <w:t xml:space="preserve"> </w:t>
      </w:r>
      <w:r>
        <w:rPr>
          <w:rStyle w:val="VerbatimChar"/>
        </w:rPr>
        <w:t xml:space="preserve">Cabinet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role=CONSULTANT.</w:t>
      </w:r>
    </w:p>
    <w:p>
      <w:pPr>
        <w:pStyle w:val="BodyText"/>
      </w:pPr>
      <w:r>
        <w:t xml:space="preserve">Le consultant ajoute ensuite N entreprises dans son portefeuille via</w:t>
      </w:r>
      <w:r>
        <w:t xml:space="preserve"> </w:t>
      </w:r>
      <w:r>
        <w:rPr>
          <w:rStyle w:val="VerbatimChar"/>
        </w:rPr>
        <w:t xml:space="preserve">POST /cabinet/entreprises</w:t>
      </w:r>
      <w:r>
        <w:t xml:space="preserve">.</w:t>
      </w:r>
    </w:p>
    <w:bookmarkEnd w:id="26"/>
    <w:bookmarkStart w:id="27" w:name="cas-3-assistant-agréé"/>
    <w:p>
      <w:pPr>
        <w:pStyle w:val="Heading3"/>
      </w:pPr>
      <w:r>
        <w:t xml:space="preserve">Cas 3 — Assistant agréé</w:t>
      </w:r>
    </w:p>
    <w:p>
      <w:pPr>
        <w:pStyle w:val="FirstParagraph"/>
      </w:pPr>
      <w:r>
        <w:rPr>
          <w:bCs/>
          <w:b/>
        </w:rPr>
        <w:t xml:space="preserve">Pas de self-service.</w:t>
      </w:r>
      <w:r>
        <w:t xml:space="preserve"> </w:t>
      </w:r>
      <w:r>
        <w:t xml:space="preserve">Le recrutement passe par l’admin plateforme :</w:t>
      </w:r>
    </w:p>
    <w:p>
      <w:pPr>
        <w:numPr>
          <w:ilvl w:val="0"/>
          <w:numId w:val="1006"/>
        </w:numPr>
        <w:pStyle w:val="Compact"/>
      </w:pPr>
      <w:r>
        <w:t xml:space="preserve">Candidature spontanée (mail</w:t>
      </w:r>
      <w:r>
        <w:t xml:space="preserve"> </w:t>
      </w:r>
      <w:r>
        <w:rPr>
          <w:rStyle w:val="VerbatimChar"/>
        </w:rPr>
        <w:t xml:space="preserve">jobs@soumission.dz</w:t>
      </w:r>
      <w:r>
        <w:t xml:space="preserve"> </w:t>
      </w:r>
      <w:r>
        <w:t xml:space="preserve">ou formulaire site vitrine)</w:t>
      </w:r>
    </w:p>
    <w:p>
      <w:pPr>
        <w:numPr>
          <w:ilvl w:val="0"/>
          <w:numId w:val="1006"/>
        </w:numPr>
        <w:pStyle w:val="Compact"/>
      </w:pPr>
      <w:r>
        <w:t xml:space="preserve">Entretien + vérification pièces (CV, références, pièce d’identité)</w:t>
      </w:r>
    </w:p>
    <w:p>
      <w:pPr>
        <w:numPr>
          <w:ilvl w:val="0"/>
          <w:numId w:val="1006"/>
        </w:numPr>
        <w:pStyle w:val="Compact"/>
      </w:pPr>
      <w:r>
        <w:t xml:space="preserve">Signature de la charte (doc PDF, contre-signé par admin)</w:t>
      </w:r>
    </w:p>
    <w:p>
      <w:pPr>
        <w:numPr>
          <w:ilvl w:val="0"/>
          <w:numId w:val="1006"/>
        </w:numPr>
        <w:pStyle w:val="Compact"/>
      </w:pPr>
      <w:r>
        <w:t xml:space="preserve">Admin crée manuellement le compte via</w:t>
      </w:r>
      <w:r>
        <w:t xml:space="preserve"> </w:t>
      </w:r>
      <w:r>
        <w:rPr>
          <w:rStyle w:val="VerbatimChar"/>
        </w:rPr>
        <w:t xml:space="preserve">POST /admin/assistants</w:t>
      </w:r>
      <w:r>
        <w:t xml:space="preserve"> </w:t>
      </w:r>
      <w:r>
        <w:t xml:space="preserve">avec spécialités, IBAN</w:t>
      </w:r>
    </w:p>
    <w:p>
      <w:pPr>
        <w:numPr>
          <w:ilvl w:val="0"/>
          <w:numId w:val="1006"/>
        </w:numPr>
        <w:pStyle w:val="Compact"/>
      </w:pPr>
      <w:r>
        <w:t xml:space="preserve">Assistant reçoit ses accès par email</w:t>
      </w:r>
    </w:p>
    <w:bookmarkEnd w:id="27"/>
    <w:bookmarkEnd w:id="28"/>
    <w:bookmarkStart w:id="29" w:name="onboarding-semaine-1"/>
    <w:p>
      <w:pPr>
        <w:pStyle w:val="Heading2"/>
      </w:pPr>
      <w:r>
        <w:t xml:space="preserve">Onboarding semaine 1</w:t>
      </w:r>
    </w:p>
    <w:p>
      <w:pPr>
        <w:pStyle w:val="FirstParagraph"/>
      </w:pPr>
      <w:r>
        <w:t xml:space="preserve">Liste de checks accessibles depuis le dashboard (</w:t>
      </w:r>
      <w:r>
        <w:t xml:space="preserve">“</w:t>
      </w:r>
      <w:r>
        <w:t xml:space="preserve">Bienvenue, voici vos prochaines étapes</w:t>
      </w:r>
      <w:r>
        <w:t xml:space="preserve">”</w:t>
      </w:r>
      <w:r>
        <w:t xml:space="preserve">) :</w:t>
      </w:r>
    </w:p>
    <w:p>
      <w:pPr>
        <w:numPr>
          <w:ilvl w:val="0"/>
          <w:numId w:val="1007"/>
        </w:numPr>
        <w:pStyle w:val="Compact"/>
      </w:pPr>
      <w:r>
        <w:t xml:space="preserve">☐ Compléter le profil entreprise (tous les champs)</w:t>
      </w:r>
    </w:p>
    <w:p>
      <w:pPr>
        <w:numPr>
          <w:ilvl w:val="0"/>
          <w:numId w:val="1007"/>
        </w:numPr>
        <w:pStyle w:val="Compact"/>
      </w:pPr>
      <w:r>
        <w:t xml:space="preserve">☐ Uploader</w:t>
      </w:r>
      <w:r>
        <w:t xml:space="preserve"> </w:t>
      </w:r>
      <w:r>
        <w:rPr>
          <w:bCs/>
          <w:b/>
        </w:rPr>
        <w:t xml:space="preserve">au moins 10 documents</w:t>
      </w:r>
      <w:r>
        <w:t xml:space="preserve"> </w:t>
      </w:r>
      <w:r>
        <w:t xml:space="preserve">au coffre (CNAS, CASNOS, NIF, NIS, RC, statuts, casier, bilans)</w:t>
      </w:r>
    </w:p>
    <w:p>
      <w:pPr>
        <w:numPr>
          <w:ilvl w:val="0"/>
          <w:numId w:val="1007"/>
        </w:numPr>
        <w:pStyle w:val="Compact"/>
      </w:pPr>
      <w:r>
        <w:t xml:space="preserve">☐ Saisir</w:t>
      </w:r>
      <w:r>
        <w:t xml:space="preserve"> </w:t>
      </w:r>
      <w:r>
        <w:rPr>
          <w:bCs/>
          <w:b/>
        </w:rPr>
        <w:t xml:space="preserve">au moins 3 références</w:t>
      </w:r>
      <w:r>
        <w:t xml:space="preserve"> </w:t>
      </w:r>
      <w:r>
        <w:t xml:space="preserve">de marchés précédents</w:t>
      </w:r>
    </w:p>
    <w:p>
      <w:pPr>
        <w:numPr>
          <w:ilvl w:val="0"/>
          <w:numId w:val="1007"/>
        </w:numPr>
        <w:pStyle w:val="Compact"/>
      </w:pPr>
      <w:r>
        <w:t xml:space="preserve">☐ Inviter un 2e utilisateur (chef de dossier)</w:t>
      </w:r>
    </w:p>
    <w:p>
      <w:pPr>
        <w:numPr>
          <w:ilvl w:val="0"/>
          <w:numId w:val="1007"/>
        </w:numPr>
        <w:pStyle w:val="Compact"/>
      </w:pPr>
      <w:r>
        <w:t xml:space="preserve">☐ Choisir un plan ≥ ARTISAN pour continuer après 14 jours</w:t>
      </w:r>
    </w:p>
    <w:p>
      <w:pPr>
        <w:pStyle w:val="FirstParagraph"/>
      </w:pPr>
      <w:r>
        <w:t xml:space="preserve">Email de relance automatique à J+7 et J+12 si l’un des 5 items manque.</w:t>
      </w:r>
    </w:p>
    <w:bookmarkEnd w:id="29"/>
    <w:bookmarkEnd w:id="30"/>
    <w:bookmarkStart w:id="42" w:name="étape-2-usage-quotidien"/>
    <w:p>
      <w:pPr>
        <w:pStyle w:val="Heading1"/>
      </w:pPr>
      <w:r>
        <w:t xml:space="preserve">Étape 2 — Usage quotidien</w:t>
      </w:r>
    </w:p>
    <w:bookmarkStart w:id="38" w:name="cycle-type-dun-ao"/>
    <w:p>
      <w:pPr>
        <w:pStyle w:val="Heading2"/>
      </w:pPr>
      <w:r>
        <w:t xml:space="preserve">Cycle type d’un AO</w:t>
      </w:r>
    </w:p>
    <w:bookmarkStart w:id="31" w:name="jour-0-réception-de-lao"/>
    <w:p>
      <w:pPr>
        <w:pStyle w:val="Heading3"/>
      </w:pPr>
      <w:r>
        <w:t xml:space="preserve">Jour 0 — Réception de l’AO</w:t>
      </w:r>
    </w:p>
    <w:p>
      <w:pPr>
        <w:pStyle w:val="FirstParagraph"/>
      </w:pPr>
      <w:r>
        <w:t xml:space="preserve">Le patron ou le chef de dossier reçoit l’AO par :</w:t>
      </w:r>
    </w:p>
    <w:p>
      <w:pPr>
        <w:numPr>
          <w:ilvl w:val="0"/>
          <w:numId w:val="1008"/>
        </w:numPr>
        <w:pStyle w:val="Compact"/>
      </w:pPr>
      <w:r>
        <w:t xml:space="preserve">PDF du maître d’ouvrage en pièce jointe</w:t>
      </w:r>
    </w:p>
    <w:p>
      <w:pPr>
        <w:numPr>
          <w:ilvl w:val="0"/>
          <w:numId w:val="1008"/>
        </w:numPr>
        <w:pStyle w:val="Compact"/>
      </w:pPr>
      <w:r>
        <w:t xml:space="preserve">Téléchargement depuis la plateforme officielle (ANPM, journaux)</w:t>
      </w:r>
    </w:p>
    <w:p>
      <w:pPr>
        <w:numPr>
          <w:ilvl w:val="0"/>
          <w:numId w:val="1008"/>
        </w:numPr>
        <w:pStyle w:val="Compact"/>
      </w:pPr>
      <w:r>
        <w:t xml:space="preserve">Courrier papier numérisé</w:t>
      </w:r>
    </w:p>
    <w:p>
      <w:pPr>
        <w:pStyle w:val="FirstParagraph"/>
      </w:pPr>
      <w:r>
        <w:t xml:space="preserve">Action dans SOUMISSION.DZ :</w:t>
      </w:r>
    </w:p>
    <w:p>
      <w:pPr>
        <w:numPr>
          <w:ilvl w:val="0"/>
          <w:numId w:val="1009"/>
        </w:numPr>
        <w:pStyle w:val="Compact"/>
      </w:pPr>
      <w:r>
        <w:t xml:space="preserve">Ouvre l’écran</w:t>
      </w:r>
      <w:r>
        <w:t xml:space="preserve"> </w:t>
      </w:r>
      <w:r>
        <w:rPr>
          <w:bCs/>
          <w:b/>
        </w:rPr>
        <w:t xml:space="preserve">AO</w:t>
      </w:r>
    </w:p>
    <w:p>
      <w:pPr>
        <w:numPr>
          <w:ilvl w:val="0"/>
          <w:numId w:val="1009"/>
        </w:numPr>
        <w:pStyle w:val="Compact"/>
      </w:pPr>
      <w:r>
        <w:t xml:space="preserve">Clique</w:t>
      </w:r>
      <w:r>
        <w:t xml:space="preserve"> </w:t>
      </w:r>
      <w:r>
        <w:t xml:space="preserve">“</w:t>
      </w:r>
      <w:r>
        <w:t xml:space="preserve">Importer PDF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Upload → extraction automatique (référence, objet, MO, wilaya, date limite, budget, qualification requise)</w:t>
      </w:r>
    </w:p>
    <w:p>
      <w:pPr>
        <w:numPr>
          <w:ilvl w:val="0"/>
          <w:numId w:val="1009"/>
        </w:numPr>
        <w:pStyle w:val="Compact"/>
      </w:pPr>
      <w:r>
        <w:t xml:space="preserve">Vérification visuelle des champs extraits, correction si besoin</w:t>
      </w:r>
    </w:p>
    <w:p>
      <w:pPr>
        <w:numPr>
          <w:ilvl w:val="0"/>
          <w:numId w:val="1009"/>
        </w:numPr>
        <w:pStyle w:val="Compact"/>
      </w:pPr>
      <w:r>
        <w:t xml:space="preserve">Enregistrement</w:t>
      </w:r>
    </w:p>
    <w:bookmarkEnd w:id="31"/>
    <w:bookmarkStart w:id="32" w:name="jour-1-décision-on-y-va-ou-pas"/>
    <w:p>
      <w:pPr>
        <w:pStyle w:val="Heading3"/>
      </w:pPr>
      <w:r>
        <w:t xml:space="preserve">Jour 1 — Décision</w:t>
      </w:r>
      <w:r>
        <w:t xml:space="preserve"> </w:t>
      </w:r>
      <w:r>
        <w:t xml:space="preserve">“</w:t>
      </w:r>
      <w:r>
        <w:t xml:space="preserve">on y va ou pas</w:t>
      </w:r>
      <w:r>
        <w:t xml:space="preserve">”</w:t>
      </w:r>
    </w:p>
    <w:p>
      <w:pPr>
        <w:pStyle w:val="FirstParagraph"/>
      </w:pPr>
      <w:r>
        <w:t xml:space="preserve">L’entreprise lance</w:t>
      </w:r>
      <w:r>
        <w:t xml:space="preserve"> </w:t>
      </w:r>
      <w:r>
        <w:rPr>
          <w:bCs/>
          <w:b/>
        </w:rPr>
        <w:t xml:space="preserve">l’audit</w:t>
      </w:r>
      <w:r>
        <w:t xml:space="preserve"> </w:t>
      </w:r>
      <w:r>
        <w:t xml:space="preserve">de l’AO :</w:t>
      </w:r>
    </w:p>
    <w:p>
      <w:pPr>
        <w:numPr>
          <w:ilvl w:val="0"/>
          <w:numId w:val="1010"/>
        </w:numPr>
        <w:pStyle w:val="Compact"/>
      </w:pPr>
      <w:r>
        <w:t xml:space="preserve">25 règles évaluées (voir document 03 section rules_engine)</w:t>
      </w:r>
    </w:p>
    <w:p>
      <w:pPr>
        <w:numPr>
          <w:ilvl w:val="0"/>
          <w:numId w:val="1010"/>
        </w:numPr>
        <w:pStyle w:val="Compact"/>
      </w:pPr>
      <w:r>
        <w:t xml:space="preserve">Score 0-100</w:t>
      </w:r>
    </w:p>
    <w:p>
      <w:pPr>
        <w:numPr>
          <w:ilvl w:val="0"/>
          <w:numId w:val="1010"/>
        </w:numPr>
        <w:pStyle w:val="Compact"/>
      </w:pPr>
      <w:r>
        <w:t xml:space="preserve">Répartition OK / warning / danger</w:t>
      </w:r>
    </w:p>
    <w:p>
      <w:pPr>
        <w:pStyle w:val="FirstParagraph"/>
      </w:pPr>
      <w:r>
        <w:t xml:space="preserve">Si score &lt; 50 ou plus de 3 dangers critiques : l’entreprise</w:t>
      </w:r>
      <w:r>
        <w:t xml:space="preserve"> </w:t>
      </w:r>
      <w:r>
        <w:rPr>
          <w:bCs/>
          <w:b/>
        </w:rPr>
        <w:t xml:space="preserve">passe son tour</w:t>
      </w:r>
      <w:r>
        <w:t xml:space="preserve"> </w:t>
      </w:r>
      <w:r>
        <w:t xml:space="preserve">(évite des frais de dossier inutiles).</w:t>
      </w:r>
    </w:p>
    <w:p>
      <w:pPr>
        <w:pStyle w:val="BodyText"/>
      </w:pPr>
      <w:r>
        <w:t xml:space="preserve">Si score ≥ 70 : décision</w:t>
      </w:r>
      <w:r>
        <w:t xml:space="preserve"> </w:t>
      </w:r>
      <w:r>
        <w:t xml:space="preserve">“</w:t>
      </w:r>
      <w:r>
        <w:t xml:space="preserve">on prépare le dossier</w:t>
      </w:r>
      <w:r>
        <w:t xml:space="preserve">”</w:t>
      </w:r>
      <w:r>
        <w:t xml:space="preserve">, création d’un</w:t>
      </w:r>
      <w:r>
        <w:t xml:space="preserve"> </w:t>
      </w:r>
      <w:r>
        <w:rPr>
          <w:bCs/>
          <w:b/>
        </w:rPr>
        <w:t xml:space="preserve">Dossier</w:t>
      </w:r>
      <w:r>
        <w:t xml:space="preserve"> </w:t>
      </w:r>
      <w:r>
        <w:t xml:space="preserve">au statut</w:t>
      </w:r>
      <w:r>
        <w:t xml:space="preserve"> </w:t>
      </w:r>
      <w:r>
        <w:t xml:space="preserve">“</w:t>
      </w:r>
      <w:r>
        <w:t xml:space="preserve">À faire</w:t>
      </w:r>
      <w:r>
        <w:t xml:space="preserve">”</w:t>
      </w:r>
      <w:r>
        <w:t xml:space="preserve">.</w:t>
      </w:r>
    </w:p>
    <w:bookmarkEnd w:id="32"/>
    <w:bookmarkStart w:id="33" w:name="jours-2-7-préparation-du-dossier"/>
    <w:p>
      <w:pPr>
        <w:pStyle w:val="Heading3"/>
      </w:pPr>
      <w:r>
        <w:t xml:space="preserve">Jours 2-7 — Préparation du dossier</w:t>
      </w:r>
    </w:p>
    <w:p>
      <w:pPr>
        <w:pStyle w:val="FirstParagraph"/>
      </w:pPr>
      <w:r>
        <w:t xml:space="preserve">Workflow en 7 étapes (visibles dans le Kanban) 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profil</w:t>
      </w:r>
      <w:r>
        <w:t xml:space="preserve"> </w:t>
      </w:r>
      <w:r>
        <w:t xml:space="preserve">— vérifier que les données entreprise sont à jour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documents</w:t>
      </w:r>
      <w:r>
        <w:t xml:space="preserve"> </w:t>
      </w:r>
      <w:r>
        <w:t xml:space="preserve">— vérifier que tous les documents administratifs exigés par l’AO sont au coffre et non expirés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— consolider le résultat de l’audit, traiter les warnings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chiffrage</w:t>
      </w:r>
      <w:r>
        <w:t xml:space="preserve"> </w:t>
      </w:r>
      <w:r>
        <w:t xml:space="preserve">— construire le DQE avec le simulateur de prix + templates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memoire</w:t>
      </w:r>
      <w:r>
        <w:t xml:space="preserve"> </w:t>
      </w:r>
      <w:r>
        <w:t xml:space="preserve">— générer le mémoire technique DOCX, l’adapter manuellement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verification</w:t>
      </w:r>
      <w:r>
        <w:t xml:space="preserve"> </w:t>
      </w:r>
      <w:r>
        <w:t xml:space="preserve">— revue finale par le patron, dernière passe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depot</w:t>
      </w:r>
      <w:r>
        <w:t xml:space="preserve"> </w:t>
      </w:r>
      <w:r>
        <w:t xml:space="preserve">— préparer les 3 formulaires officiels, imprimer, signer, déposer physiquement</w:t>
      </w:r>
    </w:p>
    <w:p>
      <w:pPr>
        <w:pStyle w:val="FirstParagraph"/>
      </w:pPr>
      <w:r>
        <w:t xml:space="preserve">Chaque transition met à jour</w:t>
      </w:r>
      <w:r>
        <w:t xml:space="preserve"> </w:t>
      </w:r>
      <w:r>
        <w:rPr>
          <w:rStyle w:val="VerbatimChar"/>
        </w:rPr>
        <w:t xml:space="preserve">etape_actuelle</w:t>
      </w:r>
      <w:r>
        <w:t xml:space="preserve"> </w:t>
      </w:r>
      <w:r>
        <w:t xml:space="preserve">du dossier.</w:t>
      </w:r>
    </w:p>
    <w:bookmarkEnd w:id="33"/>
    <w:bookmarkStart w:id="34" w:name="jour-j-1-dernière-vérification"/>
    <w:p>
      <w:pPr>
        <w:pStyle w:val="Heading3"/>
      </w:pPr>
      <w:r>
        <w:t xml:space="preserve">Jour J-1 — Dernière vérification</w:t>
      </w:r>
    </w:p>
    <w:p>
      <w:pPr>
        <w:numPr>
          <w:ilvl w:val="0"/>
          <w:numId w:val="1012"/>
        </w:numPr>
        <w:pStyle w:val="Compact"/>
      </w:pPr>
      <w:r>
        <w:t xml:space="preserve">Tous les documents sont imprimés</w:t>
      </w:r>
    </w:p>
    <w:p>
      <w:pPr>
        <w:numPr>
          <w:ilvl w:val="0"/>
          <w:numId w:val="1012"/>
        </w:numPr>
        <w:pStyle w:val="Compact"/>
      </w:pPr>
      <w:r>
        <w:t xml:space="preserve">Tous les formulaires sont signés</w:t>
      </w:r>
    </w:p>
    <w:p>
      <w:pPr>
        <w:numPr>
          <w:ilvl w:val="0"/>
          <w:numId w:val="1012"/>
        </w:numPr>
        <w:pStyle w:val="Compact"/>
      </w:pPr>
      <w:r>
        <w:t xml:space="preserve">La caution de soumission (1 % du budget) est obtenue de la banque</w:t>
      </w:r>
    </w:p>
    <w:p>
      <w:pPr>
        <w:numPr>
          <w:ilvl w:val="0"/>
          <w:numId w:val="1012"/>
        </w:numPr>
        <w:pStyle w:val="Compact"/>
      </w:pPr>
      <w:r>
        <w:t xml:space="preserve">Le dossier est organisé selon l’ordre exigé par le CPT</w:t>
      </w:r>
    </w:p>
    <w:bookmarkEnd w:id="34"/>
    <w:bookmarkStart w:id="35" w:name="jour-j-dépôt"/>
    <w:p>
      <w:pPr>
        <w:pStyle w:val="Heading3"/>
      </w:pPr>
      <w:r>
        <w:t xml:space="preserve">Jour J — Dépôt</w:t>
      </w:r>
    </w:p>
    <w:p>
      <w:pPr>
        <w:numPr>
          <w:ilvl w:val="0"/>
          <w:numId w:val="1013"/>
        </w:numPr>
        <w:pStyle w:val="Compact"/>
      </w:pPr>
      <w:r>
        <w:t xml:space="preserve">Dépôt physique au siège du MO (la plupart des AO DZ sont encore papier en 2026)</w:t>
      </w:r>
    </w:p>
    <w:p>
      <w:pPr>
        <w:numPr>
          <w:ilvl w:val="0"/>
          <w:numId w:val="1013"/>
        </w:numPr>
        <w:pStyle w:val="Compact"/>
      </w:pPr>
      <w:r>
        <w:t xml:space="preserve">Accusé de réception obtenu</w:t>
      </w:r>
    </w:p>
    <w:p>
      <w:pPr>
        <w:numPr>
          <w:ilvl w:val="0"/>
          <w:numId w:val="1013"/>
        </w:numPr>
        <w:pStyle w:val="Compact"/>
      </w:pPr>
      <w:r>
        <w:t xml:space="preserve">Saisie dans SOUMISSION.DZ :</w:t>
      </w:r>
      <w:r>
        <w:t xml:space="preserve"> </w:t>
      </w:r>
      <w:r>
        <w:rPr>
          <w:rStyle w:val="VerbatimChar"/>
        </w:rPr>
        <w:t xml:space="preserve">POST /dossiers/{id}/deposer</w:t>
      </w:r>
      <w:r>
        <w:t xml:space="preserve"> </w:t>
      </w:r>
      <w:r>
        <w:t xml:space="preserve">avec date et numéro d’AR</w:t>
      </w:r>
    </w:p>
    <w:p>
      <w:pPr>
        <w:pStyle w:val="FirstParagraph"/>
      </w:pPr>
      <w:r>
        <w:t xml:space="preserve">Le statut du dossier passe à</w:t>
      </w:r>
      <w:r>
        <w:t xml:space="preserve"> </w:t>
      </w:r>
      <w:r>
        <w:t xml:space="preserve">“</w:t>
      </w:r>
      <w:r>
        <w:t xml:space="preserve">Terminé</w:t>
      </w:r>
      <w:r>
        <w:t xml:space="preserve">”</w:t>
      </w:r>
      <w:r>
        <w:t xml:space="preserve"> </w:t>
      </w:r>
      <w:r>
        <w:t xml:space="preserve">et une ligne</w:t>
      </w:r>
      <w:r>
        <w:t xml:space="preserve"> </w:t>
      </w:r>
      <w:r>
        <w:rPr>
          <w:bCs/>
          <w:b/>
        </w:rPr>
        <w:t xml:space="preserve">Soumission</w:t>
      </w:r>
      <w:r>
        <w:t xml:space="preserve"> </w:t>
      </w:r>
      <w:r>
        <w:t xml:space="preserve">est créée avec</w:t>
      </w:r>
      <w:r>
        <w:t xml:space="preserve"> </w:t>
      </w:r>
      <w:r>
        <w:rPr>
          <w:rStyle w:val="VerbatimChar"/>
        </w:rPr>
        <w:t xml:space="preserve">date_depot</w:t>
      </w:r>
      <w:r>
        <w:t xml:space="preserve">.</w:t>
      </w:r>
    </w:p>
    <w:bookmarkEnd w:id="35"/>
    <w:bookmarkStart w:id="36" w:name="jours-j30-à-j90-attente-du-résultat"/>
    <w:p>
      <w:pPr>
        <w:pStyle w:val="Heading3"/>
      </w:pPr>
      <w:r>
        <w:t xml:space="preserve">Jours J+30 à J+90 — Attente du résultat</w:t>
      </w:r>
    </w:p>
    <w:p>
      <w:pPr>
        <w:numPr>
          <w:ilvl w:val="0"/>
          <w:numId w:val="1014"/>
        </w:numPr>
        <w:pStyle w:val="Compact"/>
      </w:pPr>
      <w:r>
        <w:t xml:space="preserve">Séance d’ouverture des plis (J+15 à J+30 généralement)</w:t>
      </w:r>
    </w:p>
    <w:p>
      <w:pPr>
        <w:numPr>
          <w:ilvl w:val="0"/>
          <w:numId w:val="1014"/>
        </w:numPr>
        <w:pStyle w:val="Compact"/>
      </w:pPr>
      <w:r>
        <w:t xml:space="preserve">Analyse des offres par la commission (J+30 à J+60)</w:t>
      </w:r>
    </w:p>
    <w:p>
      <w:pPr>
        <w:numPr>
          <w:ilvl w:val="0"/>
          <w:numId w:val="1014"/>
        </w:numPr>
        <w:pStyle w:val="Compact"/>
      </w:pPr>
      <w:r>
        <w:t xml:space="preserve">Notification au candidat retenu (J+60 à J+90)</w:t>
      </w:r>
    </w:p>
    <w:bookmarkEnd w:id="36"/>
    <w:bookmarkStart w:id="37" w:name="jour-dattribution"/>
    <w:p>
      <w:pPr>
        <w:pStyle w:val="Heading3"/>
      </w:pPr>
      <w:r>
        <w:t xml:space="preserve">Jour d’attribution</w:t>
      </w:r>
    </w:p>
    <w:p>
      <w:pPr>
        <w:pStyle w:val="FirstParagraph"/>
      </w:pPr>
      <w:r>
        <w:t xml:space="preserve">Saisie du résultat dans SOUMISSION.DZ :</w:t>
      </w:r>
    </w:p>
    <w:p>
      <w:pPr>
        <w:numPr>
          <w:ilvl w:val="0"/>
          <w:numId w:val="1015"/>
        </w:numPr>
        <w:pStyle w:val="Compact"/>
      </w:pPr>
      <w:r>
        <w:t xml:space="preserve">Si</w:t>
      </w:r>
      <w:r>
        <w:t xml:space="preserve"> </w:t>
      </w:r>
      <w:r>
        <w:rPr>
          <w:bCs/>
          <w:b/>
        </w:rPr>
        <w:t xml:space="preserve">gagné</w:t>
      </w:r>
      <w:r>
        <w:t xml:space="preserve"> </w:t>
      </w:r>
      <w:r>
        <w:t xml:space="preserve">: mise à jour</w:t>
      </w:r>
      <w:r>
        <w:t xml:space="preserve"> </w:t>
      </w:r>
      <w:r>
        <w:rPr>
          <w:rStyle w:val="VerbatimChar"/>
        </w:rPr>
        <w:t xml:space="preserve">Soumission.statut=gagne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rang=1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montant_attributaire_da=...</w:t>
      </w:r>
      <w:r>
        <w:t xml:space="preserve">. Déclenchement des actions post-attribution (caution bonne exécution 5 %, enregistrement comme référence).</w:t>
      </w:r>
    </w:p>
    <w:p>
      <w:pPr>
        <w:numPr>
          <w:ilvl w:val="0"/>
          <w:numId w:val="1015"/>
        </w:numPr>
        <w:pStyle w:val="Compact"/>
      </w:pPr>
      <w:r>
        <w:t xml:space="preserve">Si</w:t>
      </w:r>
      <w:r>
        <w:t xml:space="preserve"> </w:t>
      </w:r>
      <w:r>
        <w:rPr>
          <w:bCs/>
          <w:b/>
        </w:rPr>
        <w:t xml:space="preserve">perdu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statut=perdu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rang=X</w:t>
      </w:r>
      <w:r>
        <w:t xml:space="preserve">,</w:t>
      </w:r>
      <w:r>
        <w:t xml:space="preserve"> </w:t>
      </w:r>
      <w:r>
        <w:rPr>
          <w:rStyle w:val="VerbatimChar"/>
        </w:rPr>
        <w:t xml:space="preserve">raison_libre="Prix plus élevé que l'attributaire"</w:t>
      </w:r>
      <w:r>
        <w:t xml:space="preserve">. La caution de soumission peut être récupérée.</w:t>
      </w:r>
    </w:p>
    <w:bookmarkEnd w:id="37"/>
    <w:bookmarkEnd w:id="38"/>
    <w:bookmarkStart w:id="39" w:name="cycle-de-facturation-soumission.dz"/>
    <w:p>
      <w:pPr>
        <w:pStyle w:val="Heading2"/>
      </w:pPr>
      <w:r>
        <w:t xml:space="preserve">Cycle de facturation SOUMISSION.DZ</w:t>
      </w:r>
    </w:p>
    <w:p>
      <w:pPr>
        <w:pStyle w:val="FirstParagraph"/>
      </w:pPr>
      <w:r>
        <w:t xml:space="preserve">Chaque mois (ou chaque année selon périodicité) :</w:t>
      </w:r>
    </w:p>
    <w:p>
      <w:pPr>
        <w:numPr>
          <w:ilvl w:val="0"/>
          <w:numId w:val="1016"/>
        </w:numPr>
        <w:pStyle w:val="Compact"/>
      </w:pPr>
      <w:r>
        <w:t xml:space="preserve">Facture générée automatiquement (jour d’anniversaire de l’abonnement)</w:t>
      </w:r>
    </w:p>
    <w:p>
      <w:pPr>
        <w:numPr>
          <w:ilvl w:val="0"/>
          <w:numId w:val="1016"/>
        </w:numPr>
        <w:pStyle w:val="Compact"/>
      </w:pPr>
      <w:r>
        <w:t xml:space="preserve">Email envoyé au client avec la facture PDF en pièce jointe</w:t>
      </w:r>
    </w:p>
    <w:p>
      <w:pPr>
        <w:numPr>
          <w:ilvl w:val="0"/>
          <w:numId w:val="1016"/>
        </w:numPr>
        <w:pStyle w:val="Compact"/>
      </w:pPr>
      <w:r>
        <w:t xml:space="preserve">Client paie via Edahabia (mock en v5.0, réel en v6) ou virement bancaire</w:t>
      </w:r>
    </w:p>
    <w:p>
      <w:pPr>
        <w:numPr>
          <w:ilvl w:val="0"/>
          <w:numId w:val="1016"/>
        </w:numPr>
        <w:pStyle w:val="Compact"/>
      </w:pPr>
      <w:r>
        <w:t xml:space="preserve">Statut</w:t>
      </w:r>
      <w:r>
        <w:t xml:space="preserve"> </w:t>
      </w:r>
      <w:r>
        <w:rPr>
          <w:rStyle w:val="VerbatimChar"/>
        </w:rPr>
        <w:t xml:space="preserve">emise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payee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paiement_recu_at</w:t>
      </w:r>
    </w:p>
    <w:p>
      <w:pPr>
        <w:pStyle w:val="FirstParagraph"/>
      </w:pPr>
      <w:r>
        <w:t xml:space="preserve">Relances automatiques :</w:t>
      </w:r>
    </w:p>
    <w:p>
      <w:pPr>
        <w:numPr>
          <w:ilvl w:val="0"/>
          <w:numId w:val="1017"/>
        </w:numPr>
        <w:pStyle w:val="Compact"/>
      </w:pPr>
      <w:r>
        <w:t xml:space="preserve">J+5 après échéance : rappel</w:t>
      </w:r>
    </w:p>
    <w:p>
      <w:pPr>
        <w:numPr>
          <w:ilvl w:val="0"/>
          <w:numId w:val="1017"/>
        </w:numPr>
        <w:pStyle w:val="Compact"/>
      </w:pPr>
      <w:r>
        <w:t xml:space="preserve">J+10 : 2e rappel</w:t>
      </w:r>
    </w:p>
    <w:p>
      <w:pPr>
        <w:numPr>
          <w:ilvl w:val="0"/>
          <w:numId w:val="1017"/>
        </w:numPr>
        <w:pStyle w:val="Compact"/>
      </w:pPr>
      <w:r>
        <w:t xml:space="preserve">J+15 : suspension du compte (statut</w:t>
      </w:r>
      <w:r>
        <w:t xml:space="preserve"> </w:t>
      </w:r>
      <w:r>
        <w:rPr>
          <w:rStyle w:val="VerbatimChar"/>
        </w:rPr>
        <w:t xml:space="preserve">impaye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J+30 : résiliation de l’abonnement</w:t>
      </w:r>
    </w:p>
    <w:bookmarkEnd w:id="39"/>
    <w:bookmarkStart w:id="40" w:name="usage-cas-2-cabinet"/>
    <w:p>
      <w:pPr>
        <w:pStyle w:val="Heading2"/>
      </w:pPr>
      <w:r>
        <w:t xml:space="preserve">Usage Cas 2 (cabinet)</w:t>
      </w:r>
    </w:p>
    <w:p>
      <w:pPr>
        <w:pStyle w:val="FirstParagraph"/>
      </w:pPr>
      <w:r>
        <w:t xml:space="preserve">Le consultant opère sur N entreprises. Workflow spécifique :</w:t>
      </w:r>
    </w:p>
    <w:p>
      <w:pPr>
        <w:numPr>
          <w:ilvl w:val="0"/>
          <w:numId w:val="1018"/>
        </w:numPr>
        <w:pStyle w:val="Compact"/>
      </w:pPr>
      <w:r>
        <w:t xml:space="preserve">Selector en haut de l’UI pour changer d’entreprise active</w:t>
      </w:r>
    </w:p>
    <w:p>
      <w:pPr>
        <w:numPr>
          <w:ilvl w:val="0"/>
          <w:numId w:val="1018"/>
        </w:numPr>
        <w:pStyle w:val="Compact"/>
      </w:pPr>
      <w:r>
        <w:t xml:space="preserve">Dashboard cabinet : vue globale portefeuille (KPIs agrégés)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Comparateur</w:t>
      </w:r>
      <w:r>
        <w:t xml:space="preserve"> </w:t>
      </w:r>
      <w:r>
        <w:t xml:space="preserve">: pour un AO donné, montre le classement des entreprises du portefeuille</w:t>
      </w:r>
    </w:p>
    <w:p>
      <w:pPr>
        <w:numPr>
          <w:ilvl w:val="0"/>
          <w:numId w:val="1018"/>
        </w:numPr>
        <w:pStyle w:val="Compact"/>
      </w:pPr>
      <w:r>
        <w:t xml:space="preserve">Facturation unique au plan EXPERT (commission sur les LOI gagnées possible en v6)</w:t>
      </w:r>
    </w:p>
    <w:bookmarkEnd w:id="40"/>
    <w:bookmarkStart w:id="41" w:name="usage-cas-3-assistance-ponctuelle"/>
    <w:p>
      <w:pPr>
        <w:pStyle w:val="Heading2"/>
      </w:pPr>
      <w:r>
        <w:t xml:space="preserve">Usage Cas 3 (assistance ponctuelle)</w:t>
      </w:r>
    </w:p>
    <w:p>
      <w:pPr>
        <w:pStyle w:val="FirstParagraph"/>
      </w:pPr>
      <w:r>
        <w:t xml:space="preserve">Un client entreprise (Cas 1 ou Cas 2) qui manque de temps :</w:t>
      </w:r>
    </w:p>
    <w:p>
      <w:pPr>
        <w:numPr>
          <w:ilvl w:val="0"/>
          <w:numId w:val="1019"/>
        </w:numPr>
        <w:pStyle w:val="Compact"/>
      </w:pPr>
      <w:r>
        <w:t xml:space="preserve">Ouvre l’écran</w:t>
      </w:r>
      <w:r>
        <w:t xml:space="preserve"> </w:t>
      </w:r>
      <w:r>
        <w:rPr>
          <w:bCs/>
          <w:b/>
        </w:rPr>
        <w:t xml:space="preserve">Assistance</w:t>
      </w:r>
    </w:p>
    <w:p>
      <w:pPr>
        <w:numPr>
          <w:ilvl w:val="0"/>
          <w:numId w:val="1019"/>
        </w:numPr>
        <w:pStyle w:val="Compact"/>
      </w:pPr>
      <w:r>
        <w:t xml:space="preserve">Choisit une des 7 prestations (ex. REDACTION_MEMOIRE à 25 000 DA HT)</w:t>
      </w:r>
    </w:p>
    <w:p>
      <w:pPr>
        <w:numPr>
          <w:ilvl w:val="0"/>
          <w:numId w:val="1019"/>
        </w:numPr>
        <w:pStyle w:val="Compact"/>
      </w:pPr>
      <w:r>
        <w:t xml:space="preserve">Rédige le brief (texte libre expliquant l’AO, les spécificités, les deadlines)</w:t>
      </w:r>
    </w:p>
    <w:p>
      <w:pPr>
        <w:numPr>
          <w:ilvl w:val="0"/>
          <w:numId w:val="1019"/>
        </w:numPr>
        <w:pStyle w:val="Compact"/>
      </w:pPr>
      <w:r>
        <w:t xml:space="preserve">Confirme → facture TTC générée</w:t>
      </w:r>
    </w:p>
    <w:p>
      <w:pPr>
        <w:numPr>
          <w:ilvl w:val="0"/>
          <w:numId w:val="1019"/>
        </w:numPr>
        <w:pStyle w:val="Compact"/>
      </w:pPr>
      <w:r>
        <w:t xml:space="preserve">Paie → un assistant disponible est affecté (par spécialité et charge)</w:t>
      </w:r>
    </w:p>
    <w:p>
      <w:pPr>
        <w:numPr>
          <w:ilvl w:val="0"/>
          <w:numId w:val="1019"/>
        </w:numPr>
        <w:pStyle w:val="Compact"/>
      </w:pPr>
      <w:r>
        <w:t xml:space="preserve">Signe le mandat (checkbox + saisie nom complet)</w:t>
      </w:r>
    </w:p>
    <w:p>
      <w:pPr>
        <w:numPr>
          <w:ilvl w:val="0"/>
          <w:numId w:val="1019"/>
        </w:numPr>
        <w:pStyle w:val="Compact"/>
      </w:pPr>
      <w:r>
        <w:t xml:space="preserve">Échange messagerie avec l’assistant si besoin</w:t>
      </w:r>
    </w:p>
    <w:p>
      <w:pPr>
        <w:numPr>
          <w:ilvl w:val="0"/>
          <w:numId w:val="1019"/>
        </w:numPr>
        <w:pStyle w:val="Compact"/>
      </w:pPr>
      <w:r>
        <w:t xml:space="preserve">Récupère les livrables (mémoire rédigé, formulaires pré-remplis)</w:t>
      </w:r>
    </w:p>
    <w:p>
      <w:pPr>
        <w:numPr>
          <w:ilvl w:val="0"/>
          <w:numId w:val="1019"/>
        </w:numPr>
        <w:pStyle w:val="Compact"/>
      </w:pPr>
      <w:r>
        <w:t xml:space="preserve">Valide ou conteste sous 5 jours</w:t>
      </w:r>
    </w:p>
    <w:bookmarkEnd w:id="41"/>
    <w:bookmarkEnd w:id="42"/>
    <w:bookmarkStart w:id="47" w:name="étape-3-fidélisation-et-expansion"/>
    <w:p>
      <w:pPr>
        <w:pStyle w:val="Heading1"/>
      </w:pPr>
      <w:r>
        <w:t xml:space="preserve">Étape 3 — Fidélisation et expansion</w:t>
      </w:r>
    </w:p>
    <w:bookmarkStart w:id="43" w:name="parrainage"/>
    <w:p>
      <w:pPr>
        <w:pStyle w:val="Heading2"/>
      </w:pPr>
      <w:r>
        <w:t xml:space="preserve">Parrainage</w:t>
      </w:r>
    </w:p>
    <w:p>
      <w:pPr>
        <w:pStyle w:val="FirstParagraph"/>
      </w:pPr>
      <w:r>
        <w:t xml:space="preserve">Chaque utilisateur dispose d’un code de parrainage personnel visible dans son profil.</w:t>
      </w:r>
    </w:p>
    <w:p>
      <w:pPr>
        <w:numPr>
          <w:ilvl w:val="0"/>
          <w:numId w:val="1020"/>
        </w:numPr>
        <w:pStyle w:val="Compact"/>
      </w:pPr>
      <w:r>
        <w:t xml:space="preserve">Si un filleul s’inscrit avec ce code et passe à un plan payant</w:t>
      </w:r>
    </w:p>
    <w:p>
      <w:pPr>
        <w:numPr>
          <w:ilvl w:val="0"/>
          <w:numId w:val="1020"/>
        </w:numPr>
        <w:pStyle w:val="Compact"/>
      </w:pPr>
      <w:r>
        <w:t xml:space="preserve">Le parrain reçoit</w:t>
      </w:r>
      <w:r>
        <w:t xml:space="preserve"> </w:t>
      </w:r>
      <w:r>
        <w:rPr>
          <w:bCs/>
          <w:b/>
        </w:rPr>
        <w:t xml:space="preserve">20 % de commission</w:t>
      </w:r>
      <w:r>
        <w:t xml:space="preserve"> </w:t>
      </w:r>
      <w:r>
        <w:t xml:space="preserve">sur les paiements du filleul pendant 12 mois</w:t>
      </w:r>
    </w:p>
    <w:p>
      <w:pPr>
        <w:numPr>
          <w:ilvl w:val="0"/>
          <w:numId w:val="1020"/>
        </w:numPr>
        <w:pStyle w:val="Compact"/>
      </w:pPr>
      <w:r>
        <w:t xml:space="preserve">Commission créditée chaque mois dans un</w:t>
      </w:r>
      <w:r>
        <w:t xml:space="preserve"> </w:t>
      </w:r>
      <w:r>
        <w:t xml:space="preserve">“</w:t>
      </w:r>
      <w:r>
        <w:t xml:space="preserve">compte SOUMISSION.DZ</w:t>
      </w:r>
      <w:r>
        <w:t xml:space="preserve">”</w:t>
      </w:r>
      <w:r>
        <w:t xml:space="preserve"> </w:t>
      </w:r>
      <w:r>
        <w:t xml:space="preserve">du parrain</w:t>
      </w:r>
    </w:p>
    <w:p>
      <w:pPr>
        <w:numPr>
          <w:ilvl w:val="0"/>
          <w:numId w:val="1020"/>
        </w:numPr>
        <w:pStyle w:val="Compact"/>
      </w:pPr>
      <w:r>
        <w:t xml:space="preserve">Retrait mensuel vers IBAN (modèle Satim à implémenter en v6)</w:t>
      </w:r>
    </w:p>
    <w:bookmarkEnd w:id="43"/>
    <w:bookmarkStart w:id="44" w:name="hotline"/>
    <w:p>
      <w:pPr>
        <w:pStyle w:val="Heading2"/>
      </w:pPr>
      <w:r>
        <w:t xml:space="preserve">Hotline</w:t>
      </w:r>
    </w:p>
    <w:p>
      <w:pPr>
        <w:pStyle w:val="FirstParagraph"/>
      </w:pPr>
      <w:r>
        <w:t xml:space="preserve">Plan HOTLINE add-on (4 000 DA/mois) :</w:t>
      </w:r>
    </w:p>
    <w:p>
      <w:pPr>
        <w:numPr>
          <w:ilvl w:val="0"/>
          <w:numId w:val="1021"/>
        </w:numPr>
        <w:pStyle w:val="Compact"/>
      </w:pPr>
      <w:r>
        <w:t xml:space="preserve">Ticketing catégorisé en 3 niveaux : technique, conseil, expertise</w:t>
      </w:r>
    </w:p>
    <w:p>
      <w:pPr>
        <w:numPr>
          <w:ilvl w:val="0"/>
          <w:numId w:val="1021"/>
        </w:numPr>
        <w:pStyle w:val="Compact"/>
      </w:pPr>
      <w:r>
        <w:t xml:space="preserve">Délai de réponse garanti : 24 h (technique), 48 h (conseil), 72 h (expertise)</w:t>
      </w:r>
    </w:p>
    <w:p>
      <w:pPr>
        <w:numPr>
          <w:ilvl w:val="0"/>
          <w:numId w:val="1021"/>
        </w:numPr>
        <w:pStyle w:val="Compact"/>
      </w:pPr>
      <w:r>
        <w:t xml:space="preserve">Tickets tracés dans</w:t>
      </w:r>
      <w:r>
        <w:t xml:space="preserve"> </w:t>
      </w:r>
      <w:r>
        <w:rPr>
          <w:rStyle w:val="VerbatimChar"/>
        </w:rPr>
        <w:t xml:space="preserve">TicketHotline</w:t>
      </w:r>
      <w:r>
        <w:t xml:space="preserve">, historique consultable</w:t>
      </w:r>
    </w:p>
    <w:bookmarkEnd w:id="44"/>
    <w:bookmarkStart w:id="45" w:name="upgrade-de-plan"/>
    <w:p>
      <w:pPr>
        <w:pStyle w:val="Heading2"/>
      </w:pPr>
      <w:r>
        <w:t xml:space="preserve">Upgrade de plan</w:t>
      </w:r>
    </w:p>
    <w:p>
      <w:pPr>
        <w:pStyle w:val="FirstParagraph"/>
      </w:pPr>
      <w:r>
        <w:t xml:space="preserve">Quand l’entreprise grossit :</w:t>
      </w:r>
    </w:p>
    <w:p>
      <w:pPr>
        <w:numPr>
          <w:ilvl w:val="0"/>
          <w:numId w:val="1022"/>
        </w:numPr>
        <w:pStyle w:val="Compact"/>
      </w:pPr>
      <w:r>
        <w:t xml:space="preserve">De ARTISAN à PRO (plus d’utilisateurs, plus d’AO)</w:t>
      </w:r>
    </w:p>
    <w:p>
      <w:pPr>
        <w:numPr>
          <w:ilvl w:val="0"/>
          <w:numId w:val="1022"/>
        </w:numPr>
        <w:pStyle w:val="Compact"/>
      </w:pPr>
      <w:r>
        <w:t xml:space="preserve">De PRO à BUSINESS (multi-utilisateurs étendu, priorité support)</w:t>
      </w:r>
    </w:p>
    <w:p>
      <w:pPr>
        <w:numPr>
          <w:ilvl w:val="0"/>
          <w:numId w:val="1022"/>
        </w:numPr>
        <w:pStyle w:val="Compact"/>
      </w:pPr>
      <w:r>
        <w:t xml:space="preserve">Migration en self-service depuis</w:t>
      </w:r>
      <w:r>
        <w:t xml:space="preserve"> </w:t>
      </w:r>
      <w:r>
        <w:rPr>
          <w:rStyle w:val="VerbatimChar"/>
        </w:rPr>
        <w:t xml:space="preserve">/facturation/abonnements</w:t>
      </w:r>
      <w:r>
        <w:t xml:space="preserve"> </w:t>
      </w:r>
      <w:r>
        <w:t xml:space="preserve">(proratisation automatique)</w:t>
      </w:r>
    </w:p>
    <w:bookmarkEnd w:id="45"/>
    <w:bookmarkStart w:id="46" w:name="hommes-clés-à-surveiller"/>
    <w:p>
      <w:pPr>
        <w:pStyle w:val="Heading2"/>
      </w:pPr>
      <w:r>
        <w:t xml:space="preserve">Hommes clés à surveiller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8"/>
        <w:gridCol w:w="3787"/>
        <w:gridCol w:w="28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Besoins spécifiques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 BTPH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de temps, fiabilité, gestion multi-dossiers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PRO, formation à l’audit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de collaboration,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BUSINESS (multi-user)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portefeuille, comparateur, facture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EXPERT, démo du comparateur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 agréé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de missions régulier, paiement 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Recrutement, charte, paiement rapide</w:t>
            </w:r>
          </w:p>
        </w:tc>
      </w:tr>
    </w:tbl>
    <w:bookmarkEnd w:id="46"/>
    <w:bookmarkEnd w:id="47"/>
    <w:bookmarkStart w:id="51" w:name="étape-4-fin-de-cycle"/>
    <w:p>
      <w:pPr>
        <w:pStyle w:val="Heading1"/>
      </w:pPr>
      <w:r>
        <w:t xml:space="preserve">Étape 4 — Fin de cycle</w:t>
      </w:r>
    </w:p>
    <w:bookmarkStart w:id="48" w:name="résiliation"/>
    <w:p>
      <w:pPr>
        <w:pStyle w:val="Heading2"/>
      </w:pPr>
      <w:r>
        <w:t xml:space="preserve">Résiliation</w:t>
      </w:r>
    </w:p>
    <w:p>
      <w:pPr>
        <w:numPr>
          <w:ilvl w:val="0"/>
          <w:numId w:val="1023"/>
        </w:numPr>
        <w:pStyle w:val="Compact"/>
      </w:pPr>
      <w:r>
        <w:t xml:space="preserve">Self-service depuis</w:t>
      </w:r>
      <w:r>
        <w:t xml:space="preserve"> </w:t>
      </w:r>
      <w:r>
        <w:rPr>
          <w:rStyle w:val="VerbatimChar"/>
        </w:rPr>
        <w:t xml:space="preserve">/facturation/abonnements/{id}/resilier</w:t>
      </w:r>
    </w:p>
    <w:p>
      <w:pPr>
        <w:numPr>
          <w:ilvl w:val="0"/>
          <w:numId w:val="1023"/>
        </w:numPr>
        <w:pStyle w:val="Compact"/>
      </w:pPr>
      <w:r>
        <w:t xml:space="preserve">Prend effet à la fin de la période en cours</w:t>
      </w:r>
    </w:p>
    <w:p>
      <w:pPr>
        <w:numPr>
          <w:ilvl w:val="0"/>
          <w:numId w:val="1023"/>
        </w:numPr>
        <w:pStyle w:val="Compact"/>
      </w:pPr>
      <w:r>
        <w:t xml:space="preserve">Données conservées en base pendant 5 ans (loi 18-07 sur archivage fiscal)</w:t>
      </w:r>
    </w:p>
    <w:p>
      <w:pPr>
        <w:numPr>
          <w:ilvl w:val="0"/>
          <w:numId w:val="1023"/>
        </w:numPr>
        <w:pStyle w:val="Compact"/>
      </w:pPr>
      <w:r>
        <w:t xml:space="preserve">Possibilité de réactiver le compte avant J+90</w:t>
      </w:r>
    </w:p>
    <w:bookmarkEnd w:id="48"/>
    <w:bookmarkStart w:id="49" w:name="suppression-du-compte-loi-18-07"/>
    <w:p>
      <w:pPr>
        <w:pStyle w:val="Heading2"/>
      </w:pPr>
      <w:r>
        <w:t xml:space="preserve">Suppression du compte (loi 18-07)</w:t>
      </w:r>
    </w:p>
    <w:p>
      <w:pPr>
        <w:numPr>
          <w:ilvl w:val="0"/>
          <w:numId w:val="1024"/>
        </w:numPr>
        <w:pStyle w:val="Compac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DELETE /confidentialite/compte</w:t>
      </w:r>
      <w:r>
        <w:t xml:space="preserve"> </w:t>
      </w:r>
      <w:r>
        <w:t xml:space="preserve">(voir document 04)</w:t>
      </w:r>
    </w:p>
    <w:p>
      <w:pPr>
        <w:numPr>
          <w:ilvl w:val="0"/>
          <w:numId w:val="1024"/>
        </w:numPr>
        <w:pStyle w:val="Compact"/>
      </w:pPr>
      <w:r>
        <w:t xml:space="preserve">Soft-delete immédiat, purge physique J+30</w:t>
      </w:r>
    </w:p>
    <w:p>
      <w:pPr>
        <w:numPr>
          <w:ilvl w:val="0"/>
          <w:numId w:val="1024"/>
        </w:numPr>
        <w:pStyle w:val="Compact"/>
      </w:pPr>
      <w:r>
        <w:t xml:space="preserve">Export ZIP préalable proposé à l’utilisateur</w:t>
      </w:r>
    </w:p>
    <w:bookmarkEnd w:id="49"/>
    <w:bookmarkStart w:id="50" w:name="rachat-concurrent-consolidation"/>
    <w:p>
      <w:pPr>
        <w:pStyle w:val="Heading2"/>
      </w:pPr>
      <w:r>
        <w:t xml:space="preserve">Rachat concurrent / consolidation</w:t>
      </w:r>
    </w:p>
    <w:p>
      <w:pPr>
        <w:pStyle w:val="FirstParagraph"/>
      </w:pPr>
      <w:r>
        <w:t xml:space="preserve">Pas de scénario immédiat en v5.0. Si un concurrent veut intégrer SOUMISSION.DZ à son offre, l’export ZIP permet la migration sortante facile (pas de lock-in des données).</w:t>
      </w:r>
    </w:p>
    <w:bookmarkEnd w:id="50"/>
    <w:bookmarkEnd w:id="51"/>
    <w:bookmarkStart w:id="52" w:name="métriques-du-parcours-client"/>
    <w:p>
      <w:pPr>
        <w:pStyle w:val="Heading1"/>
      </w:pPr>
      <w:r>
        <w:t xml:space="preserve">Métriques du parcours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17"/>
        <w:gridCol w:w="2996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v5 pilote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Découverte → démo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RDV démo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 →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→ onboarding complété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à J+14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→ 1er AO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 traité → AO 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 gratuit → abonnement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Abonnement → rétention 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promoteurs (note ≥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40 %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Parcours client complet</dc:title>
  <dc:creator>Équipe SOUMISSION.DZ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De la découverte à la fidélisation, flux end-to-end</vt:lpwstr>
  </property>
</Properties>
</file>