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Cadrage</w:t>
      </w:r>
      <w:r>
        <w:t xml:space="preserve"> </w:t>
      </w:r>
      <w:r>
        <w:t xml:space="preserve">du</w:t>
      </w:r>
      <w:r>
        <w:t xml:space="preserve"> </w:t>
      </w:r>
      <w:r>
        <w:t xml:space="preserve">modèle</w:t>
      </w:r>
      <w:r>
        <w:t xml:space="preserve"> </w:t>
      </w:r>
      <w:r>
        <w:t xml:space="preserve">produit</w:t>
      </w:r>
    </w:p>
    <w:p>
      <w:pPr>
        <w:pStyle w:val="Subtitle"/>
      </w:pPr>
      <w:r>
        <w:t xml:space="preserve">3</w:t>
      </w:r>
      <w:r>
        <w:t xml:space="preserve"> </w:t>
      </w:r>
      <w:r>
        <w:t xml:space="preserve">cas</w:t>
      </w:r>
      <w:r>
        <w:t xml:space="preserve"> </w:t>
      </w:r>
      <w:r>
        <w:t xml:space="preserve">d’usage,</w:t>
      </w:r>
      <w:r>
        <w:t xml:space="preserve"> </w:t>
      </w:r>
      <w:r>
        <w:t xml:space="preserve">plans</w:t>
      </w:r>
      <w:r>
        <w:t xml:space="preserve"> </w:t>
      </w:r>
      <w:r>
        <w:t xml:space="preserve">tarifaires,</w:t>
      </w:r>
      <w:r>
        <w:t xml:space="preserve"> </w:t>
      </w:r>
      <w:r>
        <w:t xml:space="preserve">monétisation,</w:t>
      </w:r>
      <w:r>
        <w:t xml:space="preserve"> </w:t>
      </w:r>
      <w:r>
        <w:t xml:space="preserve">décisions</w:t>
      </w:r>
      <w:r>
        <w:t xml:space="preserve"> </w:t>
      </w:r>
      <w:r>
        <w:t xml:space="preserve">structurantes</w:t>
      </w:r>
    </w:p>
    <w:p>
      <w:pPr>
        <w:pStyle w:val="Author"/>
      </w:pPr>
      <w:r>
        <w:t xml:space="preserve">Belhof</w:t>
      </w:r>
      <w:r>
        <w:t xml:space="preserve"> </w:t>
      </w:r>
      <w:r>
        <w:t xml:space="preserve">—</w:t>
      </w:r>
      <w:r>
        <w:t xml:space="preserve"> </w:t>
      </w:r>
      <w:r>
        <w:t xml:space="preserve">Fondateur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  <w:r>
        <w:t xml:space="preserve"> </w:t>
      </w:r>
      <w:r>
        <w:t xml:space="preserve">(implémenté)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f-du-document"/>
    <w:p>
      <w:pPr>
        <w:pStyle w:val="Heading1"/>
      </w:pPr>
      <w:r>
        <w:t xml:space="preserve">Objectif du document</w:t>
      </w:r>
    </w:p>
    <w:p>
      <w:pPr>
        <w:pStyle w:val="FirstParagraph"/>
      </w:pPr>
      <w:r>
        <w:t xml:space="preserve">Ce document est le</w:t>
      </w:r>
      <w:r>
        <w:t xml:space="preserve"> </w:t>
      </w:r>
      <w:r>
        <w:rPr>
          <w:bCs/>
          <w:b/>
        </w:rPr>
        <w:t xml:space="preserve">cadrage fondateur</w:t>
      </w:r>
      <w:r>
        <w:t xml:space="preserve"> </w:t>
      </w:r>
      <w:r>
        <w:t xml:space="preserve">du modèle produit v5.0. Il a été rédigé en avril 2026 sur la base du terrain (10 prospects interrogés) et a guidé toute la réécriture from scratch.</w:t>
      </w:r>
    </w:p>
    <w:p>
      <w:pPr>
        <w:pStyle w:val="BodyText"/>
      </w:pPr>
      <w:r>
        <w:rPr>
          <w:bCs/>
          <w:b/>
        </w:rPr>
        <w:t xml:space="preserve">État en avril 2026 : tous les éléments cadrés dans ce document sont implémentés dans la v5.0.</w:t>
      </w:r>
    </w:p>
    <w:bookmarkEnd w:id="20"/>
    <w:bookmarkStart w:id="24" w:name="les-3-cas-dusage-cibles"/>
    <w:p>
      <w:pPr>
        <w:pStyle w:val="Heading1"/>
      </w:pPr>
      <w:r>
        <w:t xml:space="preserve">Les 3 cas d’usage cibles</w:t>
      </w:r>
    </w:p>
    <w:bookmarkStart w:id="21" w:name="cas-1-entreprise-autonome"/>
    <w:p>
      <w:pPr>
        <w:pStyle w:val="Heading2"/>
      </w:pPr>
      <w:r>
        <w:t xml:space="preserve">Cas 1 — Entreprise autonome</w:t>
      </w:r>
    </w:p>
    <w:p>
      <w:pPr>
        <w:pStyle w:val="FirstParagraph"/>
      </w:pPr>
      <w:r>
        <w:rPr>
          <w:bCs/>
          <w:b/>
        </w:rPr>
        <w:t xml:space="preserve">Profil type :</w:t>
      </w:r>
      <w:r>
        <w:t xml:space="preserve"> </w:t>
      </w:r>
      <w:r>
        <w:t xml:space="preserve">PME algérienne de 5 à 100 employés qui répond elle-même à ses appels d’offres.</w:t>
      </w:r>
    </w:p>
    <w:p>
      <w:pPr>
        <w:pStyle w:val="BodyText"/>
      </w:pPr>
      <w:r>
        <w:rPr>
          <w:bCs/>
          <w:b/>
        </w:rPr>
        <w:t xml:space="preserve">Exemples prospects identifiés :</w:t>
      </w:r>
    </w:p>
    <w:p>
      <w:pPr>
        <w:numPr>
          <w:ilvl w:val="0"/>
          <w:numId w:val="1001"/>
        </w:numPr>
        <w:pStyle w:val="Compact"/>
      </w:pPr>
      <w:r>
        <w:t xml:space="preserve">Brahim (Alpha BTPH, Sidi Bel Abbès, 35 salariés) — BTPH voirie et routes</w:t>
      </w:r>
    </w:p>
    <w:p>
      <w:pPr>
        <w:numPr>
          <w:ilvl w:val="0"/>
          <w:numId w:val="1001"/>
        </w:numPr>
        <w:pStyle w:val="Compact"/>
      </w:pPr>
      <w:r>
        <w:t xml:space="preserve">Kamel (Batipro, Sétif, 85 salariés) — BTPH gros œuvre et LPP</w:t>
      </w:r>
    </w:p>
    <w:p>
      <w:pPr>
        <w:numPr>
          <w:ilvl w:val="0"/>
          <w:numId w:val="1001"/>
        </w:numPr>
        <w:pStyle w:val="Compact"/>
      </w:pPr>
      <w:r>
        <w:t xml:space="preserve">Amine (Hydra Études, Alger, 12 salariés) — Bureau d’études hydraulique</w:t>
      </w:r>
    </w:p>
    <w:p>
      <w:pPr>
        <w:numPr>
          <w:ilvl w:val="0"/>
          <w:numId w:val="1001"/>
        </w:numPr>
        <w:pStyle w:val="Compact"/>
      </w:pPr>
      <w:r>
        <w:t xml:space="preserve">Nadia (Omega Fournitures, Oran, 18 salariés) — Importation matériel</w:t>
      </w:r>
    </w:p>
    <w:p>
      <w:pPr>
        <w:numPr>
          <w:ilvl w:val="0"/>
          <w:numId w:val="1001"/>
        </w:numPr>
        <w:pStyle w:val="Compact"/>
      </w:pPr>
      <w:r>
        <w:t xml:space="preserve">Omar (Sud Travaux, Ghardaïa, 8 salariés) — Travaux divers Sud</w:t>
      </w:r>
    </w:p>
    <w:p>
      <w:pPr>
        <w:pStyle w:val="FirstParagraph"/>
      </w:pPr>
      <w:r>
        <w:rPr>
          <w:bCs/>
          <w:b/>
        </w:rPr>
        <w:t xml:space="preserve">Besoin :</w:t>
      </w:r>
      <w:r>
        <w:t xml:space="preserve"> </w:t>
      </w:r>
      <w:r>
        <w:t xml:space="preserve">gagner du temps, éviter les erreurs, fiabiliser la production des dossiers.</w:t>
      </w:r>
    </w:p>
    <w:p>
      <w:pPr>
        <w:pStyle w:val="BodyText"/>
      </w:pPr>
      <w:r>
        <w:rPr>
          <w:bCs/>
          <w:b/>
        </w:rPr>
        <w:t xml:space="preserve">Valeur perçue :</w:t>
      </w:r>
      <w:r>
        <w:t xml:space="preserve"> </w:t>
      </w:r>
      <w:r>
        <w:t xml:space="preserve">-30 à -50 % de temps de préparation, -90 % d’erreurs fatales (doc expiré, formulaire oublié).</w:t>
      </w:r>
    </w:p>
    <w:p>
      <w:pPr>
        <w:pStyle w:val="BodyText"/>
      </w:pPr>
      <w:r>
        <w:rPr>
          <w:bCs/>
          <w:b/>
        </w:rPr>
        <w:t xml:space="preserve">Organisation technique :</w:t>
      </w:r>
    </w:p>
    <w:p>
      <w:pPr>
        <w:numPr>
          <w:ilvl w:val="0"/>
          <w:numId w:val="1002"/>
        </w:numPr>
        <w:pStyle w:val="Compact"/>
      </w:pPr>
      <w:r>
        <w:t xml:space="preserve">1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type=ENTREPRISE</w:t>
      </w:r>
    </w:p>
    <w:p>
      <w:pPr>
        <w:numPr>
          <w:ilvl w:val="0"/>
          <w:numId w:val="1002"/>
        </w:numPr>
        <w:pStyle w:val="Compact"/>
      </w:pPr>
      <w:r>
        <w:t xml:space="preserve">1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 </w:t>
      </w:r>
      <w:r>
        <w:t xml:space="preserve">liée</w:t>
      </w:r>
    </w:p>
    <w:p>
      <w:pPr>
        <w:numPr>
          <w:ilvl w:val="0"/>
          <w:numId w:val="1002"/>
        </w:numPr>
        <w:pStyle w:val="Compact"/>
      </w:pPr>
      <w:r>
        <w:t xml:space="preserve">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(1 à 5 selon plan) avec rôles PATRON / CHEF_DOSSIER / AUDITEUR</w:t>
      </w:r>
    </w:p>
    <w:p>
      <w:pPr>
        <w:pStyle w:val="FirstParagraph"/>
      </w:pPr>
      <w:r>
        <w:rPr>
          <w:bCs/>
          <w:b/>
        </w:rPr>
        <w:t xml:space="preserve">Scoping :</w:t>
      </w:r>
      <w:r>
        <w:t xml:space="preserve"> </w:t>
      </w:r>
      <w:r>
        <w:t xml:space="preserve">une entreprise voit ses propres données uniquement. Isolation cross-tenant garantie par G2.</w:t>
      </w:r>
    </w:p>
    <w:bookmarkEnd w:id="21"/>
    <w:bookmarkStart w:id="22" w:name="cas-2-cabinet-de-consultant"/>
    <w:p>
      <w:pPr>
        <w:pStyle w:val="Heading2"/>
      </w:pPr>
      <w:r>
        <w:t xml:space="preserve">Cas 2 — Cabinet de consultant</w:t>
      </w:r>
    </w:p>
    <w:p>
      <w:pPr>
        <w:pStyle w:val="FirstParagraph"/>
      </w:pPr>
      <w:r>
        <w:rPr>
          <w:bCs/>
          <w:b/>
        </w:rPr>
        <w:t xml:space="preserve">Profil type :</w:t>
      </w:r>
      <w:r>
        <w:t xml:space="preserve"> </w:t>
      </w:r>
      <w:r>
        <w:t xml:space="preserve">consultant indépendant ou petit cabinet qui prépare les AO pour</w:t>
      </w:r>
      <w:r>
        <w:t xml:space="preserve"> </w:t>
      </w:r>
      <w:r>
        <w:rPr>
          <w:bCs/>
          <w:b/>
        </w:rPr>
        <w:t xml:space="preserve">plusieurs</w:t>
      </w:r>
      <w:r>
        <w:t xml:space="preserve"> </w:t>
      </w:r>
      <w:r>
        <w:t xml:space="preserve">entreprises clientes.</w:t>
      </w:r>
    </w:p>
    <w:p>
      <w:pPr>
        <w:pStyle w:val="BodyText"/>
      </w:pPr>
      <w:r>
        <w:rPr>
          <w:bCs/>
          <w:b/>
        </w:rPr>
        <w:t xml:space="preserve">Exemple prospect identifié :</w:t>
      </w:r>
    </w:p>
    <w:p>
      <w:pPr>
        <w:numPr>
          <w:ilvl w:val="0"/>
          <w:numId w:val="1003"/>
        </w:numPr>
        <w:pStyle w:val="Compact"/>
      </w:pPr>
      <w:r>
        <w:t xml:space="preserve">Mourad (Cabinet Mourad Conseils, Alger) — 3 à 15 entreprises au portefeuille</w:t>
      </w:r>
    </w:p>
    <w:p>
      <w:pPr>
        <w:pStyle w:val="FirstParagraph"/>
      </w:pPr>
      <w:r>
        <w:rPr>
          <w:bCs/>
          <w:b/>
        </w:rPr>
        <w:t xml:space="preserve">Besoin :</w:t>
      </w:r>
      <w:r>
        <w:t xml:space="preserve"> </w:t>
      </w:r>
      <w:r>
        <w:t xml:space="preserve">gérer plusieurs clients efficacement, changer de contexte rapidement, éviter les confusions, facturation simplifiée.</w:t>
      </w:r>
    </w:p>
    <w:p>
      <w:pPr>
        <w:pStyle w:val="BodyText"/>
      </w:pPr>
      <w:r>
        <w:rPr>
          <w:bCs/>
          <w:b/>
        </w:rPr>
        <w:t xml:space="preserve">Valeur perçue :</w:t>
      </w:r>
      <w:r>
        <w:t xml:space="preserve"> </w:t>
      </w:r>
      <w:r>
        <w:t xml:space="preserve">capacité à doubler son volume de clients sans embaucher.</w:t>
      </w:r>
    </w:p>
    <w:p>
      <w:pPr>
        <w:pStyle w:val="BodyText"/>
      </w:pPr>
      <w:r>
        <w:rPr>
          <w:bCs/>
          <w:b/>
        </w:rPr>
        <w:t xml:space="preserve">Organisation technique :</w:t>
      </w:r>
    </w:p>
    <w:p>
      <w:pPr>
        <w:numPr>
          <w:ilvl w:val="0"/>
          <w:numId w:val="1004"/>
        </w:numPr>
        <w:pStyle w:val="Compact"/>
      </w:pPr>
      <w:r>
        <w:t xml:space="preserve">1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type=CABINET</w:t>
      </w:r>
    </w:p>
    <w:p>
      <w:pPr>
        <w:numPr>
          <w:ilvl w:val="0"/>
          <w:numId w:val="1004"/>
        </w:numPr>
        <w:pStyle w:val="Compact"/>
      </w:pPr>
      <w:r>
        <w:t xml:space="preserve">1</w:t>
      </w:r>
      <w:r>
        <w:t xml:space="preserve"> </w:t>
      </w:r>
      <w:r>
        <w:rPr>
          <w:rStyle w:val="VerbatimChar"/>
        </w:rPr>
        <w:t xml:space="preserve">Cabinet</w:t>
      </w:r>
      <w:r>
        <w:t xml:space="preserve"> </w:t>
      </w:r>
      <w:r>
        <w:t xml:space="preserve">lié</w:t>
      </w:r>
    </w:p>
    <w:p>
      <w:pPr>
        <w:numPr>
          <w:ilvl w:val="0"/>
          <w:numId w:val="1004"/>
        </w:numPr>
        <w:pStyle w:val="Compact"/>
      </w:pPr>
      <w:r>
        <w:t xml:space="preserve">N</w:t>
      </w:r>
      <w:r>
        <w:t xml:space="preserve"> </w:t>
      </w:r>
      <w:r>
        <w:rPr>
          <w:rStyle w:val="VerbatimChar"/>
        </w:rPr>
        <w:t xml:space="preserve">Entreprise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cabinet_id = X</w:t>
      </w:r>
      <w:r>
        <w:t xml:space="preserve"> </w:t>
      </w:r>
      <w:r>
        <w:t xml:space="preserve">(portefeuille)</w:t>
      </w:r>
    </w:p>
    <w:p>
      <w:pPr>
        <w:numPr>
          <w:ilvl w:val="0"/>
          <w:numId w:val="1004"/>
        </w:numPr>
        <w:pStyle w:val="Compact"/>
      </w:pPr>
      <w:r>
        <w:t xml:space="preserve">1 ou 2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role=CONSULTANT</w:t>
      </w:r>
    </w:p>
    <w:p>
      <w:pPr>
        <w:pStyle w:val="FirstParagraph"/>
      </w:pPr>
      <w:r>
        <w:rPr>
          <w:bCs/>
          <w:b/>
        </w:rPr>
        <w:t xml:space="preserve">Fonctionnalité clé :</w:t>
      </w:r>
      <w:r>
        <w:t xml:space="preserve"> </w:t>
      </w:r>
      <w:r>
        <w:rPr>
          <w:bCs/>
          <w:b/>
        </w:rPr>
        <w:t xml:space="preserve">comparateur inter-entreprises</w:t>
      </w:r>
      <w:r>
        <w:t xml:space="preserve"> </w:t>
      </w:r>
      <w:r>
        <w:t xml:space="preserve">pour un même AO (quelle entreprise du portefeuille a la meilleure éligibilité ?).</w:t>
      </w:r>
    </w:p>
    <w:p>
      <w:pPr>
        <w:pStyle w:val="BodyText"/>
      </w:pPr>
      <w:r>
        <w:rPr>
          <w:bCs/>
          <w:b/>
        </w:rPr>
        <w:t xml:space="preserve">Plan cible :</w:t>
      </w:r>
      <w:r>
        <w:t xml:space="preserve"> </w:t>
      </w:r>
      <w:r>
        <w:t xml:space="preserve">EXPERT (20 000 DA/mois) qui inclut le portefeuille illimité.</w:t>
      </w:r>
    </w:p>
    <w:bookmarkEnd w:id="22"/>
    <w:bookmarkStart w:id="23" w:name="cas-3-service-dassistance-plateforme"/>
    <w:p>
      <w:pPr>
        <w:pStyle w:val="Heading2"/>
      </w:pPr>
      <w:r>
        <w:t xml:space="preserve">Cas 3 — Service d’assistance plateforme</w:t>
      </w:r>
    </w:p>
    <w:p>
      <w:pPr>
        <w:pStyle w:val="FirstParagraph"/>
      </w:pPr>
      <w:r>
        <w:rPr>
          <w:bCs/>
          <w:b/>
        </w:rPr>
        <w:t xml:space="preserve">Profil type :</w:t>
      </w:r>
      <w:r>
        <w:t xml:space="preserve"> </w:t>
      </w:r>
      <w:r>
        <w:t xml:space="preserve">l’entreprise cliente (Cas 1 ou Cas 2) manque de temps ou d’expertise sur un AO particulier, et délègue temporairement à un</w:t>
      </w:r>
      <w:r>
        <w:t xml:space="preserve"> </w:t>
      </w:r>
      <w:r>
        <w:rPr>
          <w:bCs/>
          <w:b/>
        </w:rPr>
        <w:t xml:space="preserve">assistant agréé</w:t>
      </w:r>
      <w:r>
        <w:t xml:space="preserve"> </w:t>
      </w:r>
      <w:r>
        <w:t xml:space="preserve">de la plateforme.</w:t>
      </w:r>
    </w:p>
    <w:p>
      <w:pPr>
        <w:pStyle w:val="BodyText"/>
      </w:pPr>
      <w:r>
        <w:rPr>
          <w:bCs/>
          <w:b/>
        </w:rPr>
        <w:t xml:space="preserve">Exemples d’assistants :</w:t>
      </w:r>
    </w:p>
    <w:p>
      <w:pPr>
        <w:numPr>
          <w:ilvl w:val="0"/>
          <w:numId w:val="1005"/>
        </w:numPr>
        <w:pStyle w:val="Compact"/>
      </w:pPr>
      <w:r>
        <w:t xml:space="preserve">Yacine Merabet — spécialités BTPH, VRD, hydraulique</w:t>
      </w:r>
    </w:p>
    <w:p>
      <w:pPr>
        <w:numPr>
          <w:ilvl w:val="0"/>
          <w:numId w:val="1005"/>
        </w:numPr>
        <w:pStyle w:val="Compact"/>
      </w:pPr>
      <w:r>
        <w:t xml:space="preserve">Samira Bouguerra — spécialités fournitures, services, études</w:t>
      </w:r>
    </w:p>
    <w:p>
      <w:pPr>
        <w:pStyle w:val="FirstParagraph"/>
      </w:pPr>
      <w:r>
        <w:rPr>
          <w:bCs/>
          <w:b/>
        </w:rPr>
        <w:t xml:space="preserve">Besoin côté client :</w:t>
      </w:r>
      <w:r>
        <w:t xml:space="preserve"> </w:t>
      </w:r>
      <w:r>
        <w:t xml:space="preserve">externaliser ponctuellement la charge d’un AO complexe ou urgent.</w:t>
      </w:r>
    </w:p>
    <w:p>
      <w:pPr>
        <w:pStyle w:val="BodyText"/>
      </w:pPr>
      <w:r>
        <w:rPr>
          <w:bCs/>
          <w:b/>
        </w:rPr>
        <w:t xml:space="preserve">Besoin côté assistant :</w:t>
      </w:r>
      <w:r>
        <w:t xml:space="preserve"> </w:t>
      </w:r>
      <w:r>
        <w:t xml:space="preserve">avoir un flux régulier de missions rémunérées avec un cadre juridique clair (mandat signé).</w:t>
      </w:r>
    </w:p>
    <w:p>
      <w:pPr>
        <w:pStyle w:val="BodyText"/>
      </w:pPr>
      <w:r>
        <w:rPr>
          <w:bCs/>
          <w:b/>
        </w:rPr>
        <w:t xml:space="preserve">Organisation technique :</w:t>
      </w:r>
    </w:p>
    <w:p>
      <w:pPr>
        <w:numPr>
          <w:ilvl w:val="0"/>
          <w:numId w:val="1006"/>
        </w:numPr>
        <w:pStyle w:val="Compact"/>
      </w:pPr>
      <w:r>
        <w:t xml:space="preserve">Assistants regroupés dans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type=ENTREPRISE</w:t>
      </w:r>
      <w:r>
        <w:t xml:space="preserve"> </w:t>
      </w:r>
      <w:r>
        <w:t xml:space="preserve">“</w:t>
      </w:r>
      <w:r>
        <w:t xml:space="preserve">SOUMISSION.DZ — Assistants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</w:t>
      </w:r>
      <w:r>
        <w:t xml:space="preserve"> </w:t>
      </w:r>
      <w:r>
        <w:t xml:space="preserve">role=ASSISTANT_AGREE lié à</w:t>
      </w:r>
      <w:r>
        <w:t xml:space="preserve"> </w:t>
      </w:r>
      <w:r>
        <w:rPr>
          <w:rStyle w:val="VerbatimChar"/>
        </w:rPr>
        <w:t xml:space="preserve">AssistantAgree</w:t>
      </w:r>
      <w:r>
        <w:t xml:space="preserve"> </w:t>
      </w:r>
      <w:r>
        <w:t xml:space="preserve">(spécialités, IBAN, charte signée, note moyenne, historique missions)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Mandat</w:t>
      </w:r>
      <w:r>
        <w:t xml:space="preserve"> </w:t>
      </w:r>
      <w:r>
        <w:t xml:space="preserve">signé électroniquement par le client, donnant un</w:t>
      </w:r>
      <w:r>
        <w:t xml:space="preserve"> </w:t>
      </w:r>
      <w:r>
        <w:rPr>
          <w:bCs/>
          <w:b/>
        </w:rPr>
        <w:t xml:space="preserve">périmètre borné</w:t>
      </w:r>
      <w:r>
        <w:t xml:space="preserve"> </w:t>
      </w:r>
      <w:r>
        <w:t xml:space="preserve">d’actions sur l’entreprise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</w:t>
      </w:r>
      <w:r>
        <w:t xml:space="preserve"> </w:t>
      </w:r>
      <w:r>
        <w:t xml:space="preserve">= unité de travail (prestation × entreprise × assistant) avec statut et livrables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MissionMessage</w:t>
      </w:r>
      <w:r>
        <w:t xml:space="preserve"> </w:t>
      </w:r>
      <w:r>
        <w:t xml:space="preserve">pour la messagerie client ↔ assistant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AoMandatAction</w:t>
      </w:r>
      <w:r>
        <w:t xml:space="preserve"> </w:t>
      </w:r>
      <w:r>
        <w:t xml:space="preserve">pour le journal traçable de chaque action dans le périmètre du mandat</w:t>
      </w:r>
    </w:p>
    <w:p>
      <w:pPr>
        <w:pStyle w:val="FirstParagraph"/>
      </w:pPr>
      <w:r>
        <w:rPr>
          <w:bCs/>
          <w:b/>
        </w:rPr>
        <w:t xml:space="preserve">Monétisation :</w:t>
      </w:r>
      <w:r>
        <w:t xml:space="preserve"> </w:t>
      </w:r>
      <w:r>
        <w:t xml:space="preserve">prestation à l’acte (catalogue 7 prestations), commission plateforme 30 % implicite dans le prix HT.</w:t>
      </w:r>
    </w:p>
    <w:p>
      <w:pPr>
        <w:pStyle w:val="BodyText"/>
      </w:pPr>
      <w:r>
        <w:rPr>
          <w:bCs/>
          <w:b/>
        </w:rPr>
        <w:t xml:space="preserve">Garantie G4 :</w:t>
      </w:r>
      <w:r>
        <w:t xml:space="preserve"> </w:t>
      </w:r>
      <w:r>
        <w:t xml:space="preserve">traçabilité totale des actions de l’assistant dans le journal</w:t>
      </w:r>
      <w:r>
        <w:t xml:space="preserve"> </w:t>
      </w:r>
      <w:r>
        <w:rPr>
          <w:rStyle w:val="VerbatimChar"/>
        </w:rPr>
        <w:t xml:space="preserve">AoMandatAction</w:t>
      </w:r>
      <w:r>
        <w:t xml:space="preserve">.</w:t>
      </w:r>
    </w:p>
    <w:bookmarkEnd w:id="23"/>
    <w:bookmarkEnd w:id="24"/>
    <w:bookmarkStart w:id="30" w:name="modèle-économique"/>
    <w:p>
      <w:pPr>
        <w:pStyle w:val="Heading1"/>
      </w:pPr>
      <w:r>
        <w:t xml:space="preserve">Modèle économique</w:t>
      </w:r>
    </w:p>
    <w:bookmarkStart w:id="25" w:name="plans-tarifaires"/>
    <w:p>
      <w:pPr>
        <w:pStyle w:val="Heading2"/>
      </w:pPr>
      <w:r>
        <w:t xml:space="preserve">6 plans tarifaires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1048"/>
        <w:gridCol w:w="990"/>
        <w:gridCol w:w="2212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mensuel (DA)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annuel (DA)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Essai gratuit 14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Fonctionnalités de base, 1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TPE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1, 1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 5-30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1, 3 utilisateurs, assistance Cas 3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 30+, multi-utilisateurs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1, utilisateurs illimités, priorité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Consultants Cas 2 avec 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2, entreprises illimitées, comparateur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 support sur n’importe quel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illimités, réponse &lt; 24 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Remise annuelle : -10 %</w:t>
      </w:r>
      <w:r>
        <w:t xml:space="preserve"> </w:t>
      </w:r>
      <w:r>
        <w:t xml:space="preserve">(périodicité annuelle économise 2 mois sur 12).</w:t>
      </w:r>
    </w:p>
    <w:bookmarkEnd w:id="25"/>
    <w:bookmarkStart w:id="29" w:name="modes-complémentaires"/>
    <w:p>
      <w:pPr>
        <w:pStyle w:val="Heading2"/>
      </w:pPr>
      <w:r>
        <w:t xml:space="preserve">Modes complémentaires</w:t>
      </w:r>
    </w:p>
    <w:bookmarkStart w:id="26" w:name="à-lacte-sans-abonnement"/>
    <w:p>
      <w:pPr>
        <w:pStyle w:val="Heading3"/>
      </w:pPr>
      <w:r>
        <w:t xml:space="preserve">À l’acte (sans abonnement)</w:t>
      </w:r>
    </w:p>
    <w:p>
      <w:pPr>
        <w:pStyle w:val="FirstParagraph"/>
      </w:pPr>
      <w:r>
        <w:t xml:space="preserve">Pour les entreprises qui ne veulent pas s’engager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5 000 DA / dossier</w:t>
      </w:r>
      <w:r>
        <w:t xml:space="preserve"> </w:t>
      </w:r>
      <w:r>
        <w:t xml:space="preserve">complet (1 AO de la préparation au dépôt)</w:t>
      </w:r>
    </w:p>
    <w:p>
      <w:pPr>
        <w:numPr>
          <w:ilvl w:val="0"/>
          <w:numId w:val="1007"/>
        </w:numPr>
        <w:pStyle w:val="Compact"/>
      </w:pPr>
      <w:r>
        <w:t xml:space="preserve">Paiement Edahabia au lancement du dossier</w:t>
      </w:r>
    </w:p>
    <w:p>
      <w:pPr>
        <w:numPr>
          <w:ilvl w:val="0"/>
          <w:numId w:val="1007"/>
        </w:numPr>
        <w:pStyle w:val="Compact"/>
      </w:pPr>
      <w:r>
        <w:t xml:space="preserve">Pas d’accès à l’historique après clôture</w:t>
      </w:r>
    </w:p>
    <w:p>
      <w:pPr>
        <w:pStyle w:val="FirstParagraph"/>
      </w:pPr>
      <w:r>
        <w:t xml:space="preserve">Cible : entreprises avec très peu d’AO par an (&lt; 5).</w:t>
      </w:r>
    </w:p>
    <w:bookmarkEnd w:id="26"/>
    <w:bookmarkStart w:id="27" w:name="assistance-cas-3"/>
    <w:p>
      <w:pPr>
        <w:pStyle w:val="Heading3"/>
      </w:pPr>
      <w:r>
        <w:t xml:space="preserve">Assistance Cas 3</w:t>
      </w:r>
    </w:p>
    <w:p>
      <w:pPr>
        <w:pStyle w:val="FirstParagraph"/>
      </w:pPr>
      <w:r>
        <w:t xml:space="preserve">Catalogue de 7 prestations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960"/>
        <w:gridCol w:w="1131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HT (DA)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DOSSIER_CLE_EN_MAIN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complet préparé par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CHIFFRAGE_DQE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du DQE avec benchmark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REDACTION_MEMOIRE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 du mémoire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AUDIT_APPROFONDI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par expert des 25 règles + 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URGENCE_72H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complet en 72 h max (surtarif)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FORMATION_1H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visio à l’utilisation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SUIVI_POST_DEPOT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attribution + rédaction recours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</w:t>
            </w:r>
          </w:p>
        </w:tc>
      </w:tr>
    </w:tbl>
    <w:p>
      <w:pPr>
        <w:pStyle w:val="BodyText"/>
      </w:pPr>
      <w:r>
        <w:t xml:space="preserve">Prix TTC = prix HT × 1,19 (TVA 19 %).</w:t>
      </w:r>
    </w:p>
    <w:bookmarkEnd w:id="27"/>
    <w:bookmarkStart w:id="28" w:name="parrainage"/>
    <w:p>
      <w:pPr>
        <w:pStyle w:val="Heading3"/>
      </w:pPr>
      <w:r>
        <w:t xml:space="preserve">Parrainage</w:t>
      </w:r>
    </w:p>
    <w:p>
      <w:pPr>
        <w:pStyle w:val="FirstParagraph"/>
      </w:pPr>
      <w:r>
        <w:t xml:space="preserve">20 % de commission sur les paiements du filleul pendant 12 mois.</w:t>
      </w:r>
    </w:p>
    <w:bookmarkEnd w:id="28"/>
    <w:bookmarkEnd w:id="29"/>
    <w:bookmarkEnd w:id="30"/>
    <w:bookmarkStart w:id="34" w:name="principes-de-conception-non-négociables"/>
    <w:p>
      <w:pPr>
        <w:pStyle w:val="Heading1"/>
      </w:pPr>
      <w:r>
        <w:t xml:space="preserve">Principes de conception non-négociables</w:t>
      </w:r>
    </w:p>
    <w:bookmarkStart w:id="31" w:name="technique"/>
    <w:p>
      <w:pPr>
        <w:pStyle w:val="Heading2"/>
      </w:pPr>
      <w:r>
        <w:t xml:space="preserve">Technique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Hébergement en Algérie</w:t>
      </w:r>
      <w:r>
        <w:t xml:space="preserve"> </w:t>
      </w:r>
      <w:r>
        <w:t xml:space="preserve">(loi 18-07) — Icosnet, Algérie Télécom ou Djaweb pour la version cloud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 d’IA/LLM</w:t>
      </w:r>
      <w:r>
        <w:t xml:space="preserve"> </w:t>
      </w:r>
      <w:r>
        <w:t xml:space="preserve">en v5.0 (reporté v6 après retour pilote)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 d’arabe</w:t>
      </w:r>
      <w:r>
        <w:t xml:space="preserve"> </w:t>
      </w:r>
      <w:r>
        <w:t xml:space="preserve">dans l’interface (0 prospect sur 10 l’a demandé, français suffisant)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Zéro Docker</w:t>
      </w:r>
      <w:r>
        <w:t xml:space="preserve"> </w:t>
      </w:r>
      <w:r>
        <w:t xml:space="preserve">pour simplifier l’installation chez le pilote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Sécurité par construction</w:t>
      </w:r>
      <w:r>
        <w:t xml:space="preserve"> </w:t>
      </w:r>
      <w:r>
        <w:t xml:space="preserve">: G1 (auth JWT), G2 (isolation cross-tenant), G3 (pas de fuite), G4 (traçabilité Cas 3)</w:t>
      </w:r>
    </w:p>
    <w:bookmarkEnd w:id="31"/>
    <w:bookmarkStart w:id="32" w:name="commercial"/>
    <w:p>
      <w:pPr>
        <w:pStyle w:val="Heading2"/>
      </w:pPr>
      <w:r>
        <w:t xml:space="preserve">Commercial</w:t>
      </w:r>
    </w:p>
    <w:p>
      <w:pPr>
        <w:numPr>
          <w:ilvl w:val="0"/>
          <w:numId w:val="1009"/>
        </w:numPr>
        <w:pStyle w:val="Compact"/>
      </w:pPr>
      <w:r>
        <w:t xml:space="preserve">Pas de free-mium illimité — 14 jours de découverte, puis plan payant obligatoire</w:t>
      </w:r>
    </w:p>
    <w:p>
      <w:pPr>
        <w:numPr>
          <w:ilvl w:val="0"/>
          <w:numId w:val="1009"/>
        </w:numPr>
        <w:pStyle w:val="Compact"/>
      </w:pPr>
      <w:r>
        <w:t xml:space="preserve">Prix en DA uniquement (pas d’euros ou dollars en v5)</w:t>
      </w:r>
    </w:p>
    <w:p>
      <w:pPr>
        <w:numPr>
          <w:ilvl w:val="0"/>
          <w:numId w:val="1009"/>
        </w:numPr>
        <w:pStyle w:val="Compact"/>
      </w:pPr>
      <w:r>
        <w:t xml:space="preserve">Factures conformes fiscalité algérienne (NIF, NIS, RC, TVA 19 %)</w:t>
      </w:r>
    </w:p>
    <w:p>
      <w:pPr>
        <w:numPr>
          <w:ilvl w:val="0"/>
          <w:numId w:val="1009"/>
        </w:numPr>
        <w:pStyle w:val="Compact"/>
      </w:pPr>
      <w:r>
        <w:t xml:space="preserve">Paiement par Edahabia (cible v6) ou virement bancaire (v5)</w:t>
      </w:r>
    </w:p>
    <w:bookmarkEnd w:id="32"/>
    <w:bookmarkStart w:id="33" w:name="produit"/>
    <w:p>
      <w:pPr>
        <w:pStyle w:val="Heading2"/>
      </w:pPr>
      <w:r>
        <w:t xml:space="preserve">Produit</w:t>
      </w:r>
    </w:p>
    <w:p>
      <w:pPr>
        <w:numPr>
          <w:ilvl w:val="0"/>
          <w:numId w:val="1010"/>
        </w:numPr>
        <w:pStyle w:val="Compact"/>
      </w:pPr>
      <w:r>
        <w:t xml:space="preserve">Pas de feature qui ne vient pas d’un besoin prospect exprimé</w:t>
      </w:r>
    </w:p>
    <w:p>
      <w:pPr>
        <w:numPr>
          <w:ilvl w:val="0"/>
          <w:numId w:val="1010"/>
        </w:numPr>
        <w:pStyle w:val="Compact"/>
      </w:pPr>
      <w:r>
        <w:t xml:space="preserve">Simplicité &gt; exhaustivité : un utilisateur doit pouvoir faire son 1er AO en &lt; 2 h</w:t>
      </w:r>
    </w:p>
    <w:p>
      <w:pPr>
        <w:numPr>
          <w:ilvl w:val="0"/>
          <w:numId w:val="1010"/>
        </w:numPr>
        <w:pStyle w:val="Compact"/>
      </w:pPr>
      <w:r>
        <w:t xml:space="preserve">Pas de mobile natif en v5 — SPA responsive suffit</w:t>
      </w:r>
    </w:p>
    <w:p>
      <w:pPr>
        <w:numPr>
          <w:ilvl w:val="0"/>
          <w:numId w:val="1010"/>
        </w:numPr>
        <w:pStyle w:val="Compact"/>
      </w:pPr>
      <w:r>
        <w:t xml:space="preserve">Pas d’API publique en v5 — à ouvrir en v6 si demande</w:t>
      </w:r>
    </w:p>
    <w:bookmarkEnd w:id="33"/>
    <w:bookmarkEnd w:id="34"/>
    <w:bookmarkStart w:id="35" w:name="les-40-décisions-structurantes-d1-à-d40"/>
    <w:p>
      <w:pPr>
        <w:pStyle w:val="Heading1"/>
      </w:pPr>
      <w:r>
        <w:t xml:space="preserve">Les 40 décisions structurantes (D1 à D40)</w:t>
      </w:r>
    </w:p>
    <w:p>
      <w:pPr>
        <w:pStyle w:val="FirstParagraph"/>
      </w:pPr>
      <w:r>
        <w:t xml:space="preserve">Toutes documentées dans</w:t>
      </w:r>
      <w:r>
        <w:t xml:space="preserve"> </w:t>
      </w:r>
      <w:r>
        <w:rPr>
          <w:rStyle w:val="VerbatimChar"/>
        </w:rPr>
        <w:t xml:space="preserve">CHANGELOG_v5.md</w:t>
      </w:r>
      <w:r>
        <w:t xml:space="preserve">. Les plus importantes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"/>
        <w:gridCol w:w="479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 min (pas 3.12)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Compatibilité pilotes, StrEnum suffit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SQLAlchemy 2 + Pydantic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moderne, types, perf, docs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d’IA en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souveraineté non résolu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d’arabe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demande prospect, coût élevé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Zéro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Pilote local = setup.bat/.exe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par 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Zéro conf, suffit &lt; 50 entreprises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Edahabia mock en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Satim = mois de 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vanilla JS (pas de 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build, ROI négatif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tenants distincts vs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Simplicité opérationnelle, clarté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18-07 implémentée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négociable légalement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Installateur PySide6 + PyInstaller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Mo vs 200 Mo Electron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PDF via 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Léger, contrôle total mise en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 démo réalistes 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Démo commerciale crédible</w:t>
            </w:r>
          </w:p>
        </w:tc>
      </w:tr>
    </w:tbl>
    <w:bookmarkEnd w:id="35"/>
    <w:bookmarkStart w:id="39" w:name="conformité-réglementaire"/>
    <w:p>
      <w:pPr>
        <w:pStyle w:val="Heading1"/>
      </w:pPr>
      <w:r>
        <w:t xml:space="preserve">Conformité réglementaire</w:t>
      </w:r>
    </w:p>
    <w:bookmarkStart w:id="36" w:name="X90a220e3bce3d1a8ceaf8d62a382489ddce4ade"/>
    <w:p>
      <w:pPr>
        <w:pStyle w:val="Heading2"/>
      </w:pPr>
      <w:r>
        <w:t xml:space="preserve">Loi 18-07 (protection données personnelles)</w:t>
      </w:r>
    </w:p>
    <w:p>
      <w:pPr>
        <w:pStyle w:val="FirstParagraph"/>
      </w:pPr>
      <w:r>
        <w:t xml:space="preserve">Implémentée dans le router</w:t>
      </w:r>
      <w:r>
        <w:t xml:space="preserve"> </w:t>
      </w:r>
      <w:r>
        <w:rPr>
          <w:rStyle w:val="VerbatimChar"/>
        </w:rPr>
        <w:t xml:space="preserve">conformite.py</w:t>
      </w:r>
      <w:r>
        <w:t xml:space="preserve"> </w:t>
      </w:r>
      <w:r>
        <w:t xml:space="preserve">(voir document 04) :</w:t>
      </w:r>
    </w:p>
    <w:p>
      <w:pPr>
        <w:numPr>
          <w:ilvl w:val="0"/>
          <w:numId w:val="1011"/>
        </w:numPr>
        <w:pStyle w:val="Compact"/>
      </w:pPr>
      <w:r>
        <w:t xml:space="preserve">Page</w:t>
      </w:r>
      <w:r>
        <w:t xml:space="preserve"> </w:t>
      </w:r>
      <w:r>
        <w:rPr>
          <w:rStyle w:val="VerbatimChar"/>
        </w:rPr>
        <w:t xml:space="preserve">/confidentialite</w:t>
      </w:r>
      <w:r>
        <w:t xml:space="preserve"> </w:t>
      </w:r>
      <w:r>
        <w:t xml:space="preserve">avec texte juridique</w:t>
      </w:r>
    </w:p>
    <w:p>
      <w:pPr>
        <w:numPr>
          <w:ilvl w:val="0"/>
          <w:numId w:val="1011"/>
        </w:numPr>
        <w:pStyle w:val="Compact"/>
      </w:pPr>
      <w:r>
        <w:t xml:space="preserve">Consentement horodaté au signup</w:t>
      </w:r>
    </w:p>
    <w:p>
      <w:pPr>
        <w:numPr>
          <w:ilvl w:val="0"/>
          <w:numId w:val="1011"/>
        </w:numPr>
        <w:pStyle w:val="Compact"/>
      </w:pPr>
      <w:r>
        <w:t xml:space="preserve">Export ZIP portable</w:t>
      </w:r>
    </w:p>
    <w:p>
      <w:pPr>
        <w:numPr>
          <w:ilvl w:val="0"/>
          <w:numId w:val="1011"/>
        </w:numPr>
        <w:pStyle w:val="Compact"/>
      </w:pPr>
      <w:r>
        <w:t xml:space="preserve">Soft-delete + purge physique J+30</w:t>
      </w:r>
    </w:p>
    <w:bookmarkEnd w:id="36"/>
    <w:bookmarkStart w:id="37" w:name="fiscalité-algérienne"/>
    <w:p>
      <w:pPr>
        <w:pStyle w:val="Heading2"/>
      </w:pPr>
      <w:r>
        <w:t xml:space="preserve">Fiscalité algérienne</w:t>
      </w:r>
    </w:p>
    <w:p>
      <w:pPr>
        <w:numPr>
          <w:ilvl w:val="0"/>
          <w:numId w:val="1012"/>
        </w:numPr>
        <w:pStyle w:val="Compact"/>
      </w:pPr>
      <w:r>
        <w:t xml:space="preserve">Mentions obligatoires sur factures : NIF, NIS, RC, TVA 19 %, RIB plateforme</w:t>
      </w:r>
    </w:p>
    <w:p>
      <w:pPr>
        <w:numPr>
          <w:ilvl w:val="0"/>
          <w:numId w:val="1012"/>
        </w:numPr>
        <w:pStyle w:val="Compact"/>
      </w:pPr>
      <w:r>
        <w:t xml:space="preserve">Numéro de facture séquentiel par année</w:t>
      </w:r>
    </w:p>
    <w:p>
      <w:pPr>
        <w:numPr>
          <w:ilvl w:val="0"/>
          <w:numId w:val="1012"/>
        </w:numPr>
        <w:pStyle w:val="Compact"/>
      </w:pPr>
      <w:r>
        <w:t xml:space="preserve">Conservation des factures 10 ans (stockage</w:t>
      </w:r>
      <w:r>
        <w:t xml:space="preserve"> </w:t>
      </w:r>
      <w:r>
        <w:rPr>
          <w:rStyle w:val="VerbatimChar"/>
        </w:rPr>
        <w:t xml:space="preserve">storage/factures_archives/</w:t>
      </w:r>
      <w:r>
        <w:t xml:space="preserve">)</w:t>
      </w:r>
    </w:p>
    <w:bookmarkEnd w:id="37"/>
    <w:bookmarkStart w:id="38" w:name="droit-du-travail-pour-assistants-cas-3"/>
    <w:p>
      <w:pPr>
        <w:pStyle w:val="Heading2"/>
      </w:pPr>
      <w:r>
        <w:t xml:space="preserve">Droit du travail (pour assistants Cas 3)</w:t>
      </w:r>
    </w:p>
    <w:p>
      <w:pPr>
        <w:numPr>
          <w:ilvl w:val="0"/>
          <w:numId w:val="1013"/>
        </w:numPr>
        <w:pStyle w:val="Compact"/>
      </w:pPr>
      <w:r>
        <w:t xml:space="preserve">Les assistants sont considérés</w:t>
      </w:r>
      <w:r>
        <w:t xml:space="preserve"> </w:t>
      </w:r>
      <w:r>
        <w:rPr>
          <w:bCs/>
          <w:b/>
        </w:rPr>
        <w:t xml:space="preserve">consultants indépendants</w:t>
      </w:r>
      <w:r>
        <w:t xml:space="preserve">, pas salariés</w:t>
      </w:r>
    </w:p>
    <w:p>
      <w:pPr>
        <w:numPr>
          <w:ilvl w:val="0"/>
          <w:numId w:val="1013"/>
        </w:numPr>
        <w:pStyle w:val="Compact"/>
      </w:pPr>
      <w:r>
        <w:t xml:space="preserve">Contrat d’agrément + charte signés (PDF dans</w:t>
      </w:r>
      <w:r>
        <w:t xml:space="preserve"> </w:t>
      </w:r>
      <w:r>
        <w:rPr>
          <w:rStyle w:val="VerbatimChar"/>
        </w:rPr>
        <w:t xml:space="preserve">storage/assistants/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Facturation plateforme → client, commission plateforme 30 %, virement 70 % à l’assistant</w:t>
      </w:r>
    </w:p>
    <w:bookmarkEnd w:id="38"/>
    <w:bookmarkEnd w:id="39"/>
    <w:bookmarkStart w:id="40" w:name="ce-que-la-v5-nest-pas"/>
    <w:p>
      <w:pPr>
        <w:pStyle w:val="Heading1"/>
      </w:pPr>
      <w:r>
        <w:t xml:space="preserve">Ce que la v5 n’est pas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</w:t>
      </w:r>
      <w:r>
        <w:t xml:space="preserve"> </w:t>
      </w:r>
      <w:r>
        <w:t xml:space="preserve">un outil de soumission électronique aux administrations (le dépôt reste physique)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</w:t>
      </w:r>
      <w:r>
        <w:t xml:space="preserve"> </w:t>
      </w:r>
      <w:r>
        <w:t xml:space="preserve">un ERP ni une comptabilité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</w:t>
      </w:r>
      <w:r>
        <w:t xml:space="preserve"> </w:t>
      </w:r>
      <w:r>
        <w:t xml:space="preserve">une bourse de sous-traitance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</w:t>
      </w:r>
      <w:r>
        <w:t xml:space="preserve"> </w:t>
      </w:r>
      <w:r>
        <w:t xml:space="preserve">une place de marché ouverte (les assistants sont recrutés par la plateforme)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</w:t>
      </w:r>
      <w:r>
        <w:t xml:space="preserve"> </w:t>
      </w:r>
      <w:r>
        <w:t xml:space="preserve">un outil de formation académique (capsules possibles en v6 add-on)</w:t>
      </w:r>
    </w:p>
    <w:bookmarkEnd w:id="40"/>
    <w:bookmarkStart w:id="41" w:name="axes-dévolution-envisagés-v6"/>
    <w:p>
      <w:pPr>
        <w:pStyle w:val="Heading1"/>
      </w:pPr>
      <w:r>
        <w:t xml:space="preserve">Axes d’évolution envisagés v6+</w:t>
      </w:r>
    </w:p>
    <w:p>
      <w:pPr>
        <w:pStyle w:val="FirstParagraph"/>
      </w:pPr>
      <w:r>
        <w:t xml:space="preserve">Voir document 06 — Roadmap. Principaux :</w:t>
      </w:r>
    </w:p>
    <w:p>
      <w:pPr>
        <w:numPr>
          <w:ilvl w:val="0"/>
          <w:numId w:val="1015"/>
        </w:numPr>
        <w:pStyle w:val="Compact"/>
      </w:pPr>
      <w:r>
        <w:t xml:space="preserve">Paiement Edahabia réel</w:t>
      </w:r>
    </w:p>
    <w:p>
      <w:pPr>
        <w:numPr>
          <w:ilvl w:val="0"/>
          <w:numId w:val="1015"/>
        </w:numPr>
        <w:pStyle w:val="Compact"/>
      </w:pPr>
      <w:r>
        <w:t xml:space="preserve">IA pour suggestions (non bloquante)</w:t>
      </w:r>
    </w:p>
    <w:p>
      <w:pPr>
        <w:numPr>
          <w:ilvl w:val="0"/>
          <w:numId w:val="1015"/>
        </w:numPr>
        <w:pStyle w:val="Compact"/>
      </w:pPr>
      <w:r>
        <w:t xml:space="preserve">Hébergement cloud Algérie</w:t>
      </w:r>
    </w:p>
    <w:p>
      <w:pPr>
        <w:numPr>
          <w:ilvl w:val="0"/>
          <w:numId w:val="1015"/>
        </w:numPr>
        <w:pStyle w:val="Compact"/>
      </w:pPr>
      <w:r>
        <w:t xml:space="preserve">API publique</w:t>
      </w:r>
    </w:p>
    <w:p>
      <w:pPr>
        <w:numPr>
          <w:ilvl w:val="0"/>
          <w:numId w:val="1015"/>
        </w:numPr>
        <w:pStyle w:val="Compact"/>
      </w:pPr>
      <w:r>
        <w:t xml:space="preserve">Marketplace d’assistants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Ce document fige le modèle produit v5.0. Toute évolution structurelle fera l’objet d’une mise à jour ou d’un document v6 dédié.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Cadrage du modèle produit</dc:title>
  <dc:creator>Belhof — Fondateur</dc:creator>
  <cp:keywords/>
  <dcterms:created xsi:type="dcterms:W3CDTF">2026-04-13T18:36:18Z</dcterms:created>
  <dcterms:modified xsi:type="dcterms:W3CDTF">2026-04-13T18:36:18Z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 (implémenté)</vt:lpwstr>
  </property>
  <property fmtid="{D5CDD505-2E9C-101B-9397-08002B2CF9AE}" pid="3" name="subtitle">
    <vt:lpwstr>3 cas d’usage, plans tarifaires, monétisation, décisions structurantes</vt:lpwstr>
  </property>
</Properties>
</file>