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SOUMISSION.DZ</w:t>
      </w:r>
      <w:r>
        <w:t xml:space="preserve"> </w:t>
      </w:r>
      <w:r>
        <w:t xml:space="preserve">—</w:t>
      </w:r>
      <w:r>
        <w:t xml:space="preserve"> </w:t>
      </w:r>
      <w:r>
        <w:t xml:space="preserve">Synthèse</w:t>
      </w:r>
      <w:r>
        <w:t xml:space="preserve"> </w:t>
      </w:r>
      <w:r>
        <w:t xml:space="preserve">des</w:t>
      </w:r>
      <w:r>
        <w:t xml:space="preserve"> </w:t>
      </w:r>
      <w:r>
        <w:t xml:space="preserve">parcours</w:t>
      </w:r>
    </w:p>
    <w:p>
      <w:pPr>
        <w:pStyle w:val="Subtitle"/>
      </w:pPr>
      <w:r>
        <w:t xml:space="preserve">Comparaison</w:t>
      </w:r>
      <w:r>
        <w:t xml:space="preserve"> </w:t>
      </w:r>
      <w:r>
        <w:t xml:space="preserve">des</w:t>
      </w:r>
      <w:r>
        <w:t xml:space="preserve"> </w:t>
      </w:r>
      <w:r>
        <w:t xml:space="preserve">3</w:t>
      </w:r>
      <w:r>
        <w:t xml:space="preserve"> </w:t>
      </w:r>
      <w:r>
        <w:t xml:space="preserve">cas</w:t>
      </w:r>
      <w:r>
        <w:t xml:space="preserve"> </w:t>
      </w:r>
      <w:r>
        <w:t xml:space="preserve">d’usage,</w:t>
      </w:r>
      <w:r>
        <w:t xml:space="preserve"> </w:t>
      </w:r>
      <w:r>
        <w:t xml:space="preserve">matrice</w:t>
      </w:r>
      <w:r>
        <w:t xml:space="preserve"> </w:t>
      </w:r>
      <w:r>
        <w:t xml:space="preserve">fonctionnelle,</w:t>
      </w:r>
      <w:r>
        <w:t xml:space="preserve"> </w:t>
      </w:r>
      <w:r>
        <w:t xml:space="preserve">décisions</w:t>
      </w:r>
      <w:r>
        <w:t xml:space="preserve"> </w:t>
      </w:r>
      <w:r>
        <w:t xml:space="preserve">rapides</w:t>
      </w:r>
    </w:p>
    <w:p>
      <w:pPr>
        <w:pStyle w:val="Author"/>
      </w:pPr>
      <w:r>
        <w:t xml:space="preserve">Équipe</w:t>
      </w:r>
      <w:r>
        <w:t xml:space="preserve"> </w:t>
      </w:r>
      <w:r>
        <w:t xml:space="preserve">SOUMISSION.DZ</w:t>
      </w:r>
    </w:p>
    <w:p>
      <w:pPr>
        <w:pStyle w:val="Date"/>
      </w:pPr>
      <w:r>
        <w:t xml:space="preserve">Avril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5.0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objectif"/>
    <w:p>
      <w:pPr>
        <w:pStyle w:val="Heading1"/>
      </w:pPr>
      <w:r>
        <w:t xml:space="preserve">Objectif</w:t>
      </w:r>
    </w:p>
    <w:p>
      <w:pPr>
        <w:pStyle w:val="FirstParagraph"/>
      </w:pPr>
      <w:r>
        <w:t xml:space="preserve">Ce document est un</w:t>
      </w:r>
      <w:r>
        <w:t xml:space="preserve"> </w:t>
      </w:r>
      <w:r>
        <w:rPr>
          <w:bCs/>
          <w:b/>
        </w:rPr>
        <w:t xml:space="preserve">résumé visuel</w:t>
      </w:r>
      <w:r>
        <w:t xml:space="preserve"> </w:t>
      </w:r>
      <w:r>
        <w:t xml:space="preserve">des 3 parcours utilisateur, destiné à :</w:t>
      </w:r>
    </w:p>
    <w:p>
      <w:pPr>
        <w:numPr>
          <w:ilvl w:val="0"/>
          <w:numId w:val="1001"/>
        </w:numPr>
        <w:pStyle w:val="Compact"/>
      </w:pPr>
      <w:r>
        <w:t xml:space="preserve">L’équipe commerciale pour identifier rapidement le cas d’usage d’un prospect</w:t>
      </w:r>
    </w:p>
    <w:p>
      <w:pPr>
        <w:numPr>
          <w:ilvl w:val="0"/>
          <w:numId w:val="1001"/>
        </w:numPr>
        <w:pStyle w:val="Compact"/>
      </w:pPr>
      <w:r>
        <w:t xml:space="preserve">L’équipe support pour router un ticket vers le bon expert</w:t>
      </w:r>
    </w:p>
    <w:p>
      <w:pPr>
        <w:numPr>
          <w:ilvl w:val="0"/>
          <w:numId w:val="1001"/>
        </w:numPr>
        <w:pStyle w:val="Compact"/>
      </w:pPr>
      <w:r>
        <w:t xml:space="preserve">Les rédacteurs de documentation pour aligner les exemples</w:t>
      </w:r>
    </w:p>
    <w:bookmarkEnd w:id="20"/>
    <w:bookmarkStart w:id="21" w:name="tableau-comparatif"/>
    <w:p>
      <w:pPr>
        <w:pStyle w:val="Heading1"/>
      </w:pPr>
      <w:r>
        <w:t xml:space="preserve">Tableau comparatif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05"/>
        <w:gridCol w:w="2071"/>
        <w:gridCol w:w="2010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1 — Entreprise autonome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2 — Cabinet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3 — Assistance plateforme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PME 5-100 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indépendant /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Cas 1 ou Cas 2 en surcharge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Exemple 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Brahim (Alpha BTPH, SBA)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Mourad (Cabinet Alger)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Yacine (assistant interne)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 à la 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 direct + agrégateur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Prestataire payé à l’acte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Org + 1 Entreprise + N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Org CABINET + N Entreprises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dans Org Plateforme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organisation_id = ctx.org_id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cabinet_id</w:t>
            </w:r>
            <w:r>
              <w:t xml:space="preserve"> </w:t>
            </w:r>
            <w:r>
              <w:t xml:space="preserve">+ header entreprise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Mandat</w:t>
            </w:r>
            <w:r>
              <w:t xml:space="preserve"> </w:t>
            </w:r>
            <w:r>
              <w:t xml:space="preserve">signé avec périmètre borné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tarifaire 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ARTISAN / PRO /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(pas d’abonnement)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5 000 / 10 000 / 15 000 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20 000 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30 % sur prestations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 d’utilisateurs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à illimité selon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consultants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assistant par 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Signup self-service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— recrutement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Fonctionnalités uniques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Coffre, audit, chiffrage, mémoire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Comparateur portefeuille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Mandat, messagerie, journal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Facture mensuelle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Facture unique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Facturation à l’acte par prestation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Mémoire DOCX + 3 formulaires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+ tableau comparatif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Idem, produit par l’assistant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tâches J+14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+ import des N entreprises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 + formation 1 h</w:t>
            </w:r>
          </w:p>
        </w:tc>
      </w:tr>
    </w:tbl>
    <w:bookmarkEnd w:id="21"/>
    <w:bookmarkStart w:id="22" w:name="X74a00f2b02638022d561c8aa24efaaeb537b364"/>
    <w:p>
      <w:pPr>
        <w:pStyle w:val="Heading1"/>
      </w:pPr>
      <w:r>
        <w:t xml:space="preserve">Matrice fonctionnelle — Qui peut faire quoi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9"/>
        <w:gridCol w:w="871"/>
        <w:gridCol w:w="726"/>
        <w:gridCol w:w="726"/>
        <w:gridCol w:w="1162"/>
        <w:gridCol w:w="1089"/>
        <w:gridCol w:w="3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 1 Patron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 1 Chef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 1 Aud.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 2 Consultant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 3 Assistant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Signup entreprise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Signup cabinet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Ajouter entreprise au portefeuille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Inviter un utilisateur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Recruter un assistant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Uploader documents coffre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(si mandat)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Créer / modifier référence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(si mandat)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Importer AO 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(si mandat)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Lancer audit 25 règles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(si mandat)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Utiliser simulateur prix / templates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(si mandat)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Générer mémoire 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(si mandat)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Avancer un dossier dans le kanban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(si mandat)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Enregistrer une caution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(si mandat)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Clôturer une soumission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Comparer les entreprises du portefeuille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Demander une prestation Cas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Accepter une mission Cas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Valider une mission livrée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Consulter plans tarifaires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Souscrire un abonnement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Télécharger facture 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(ses missions)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Configurer code de parrainage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Ouvrir ticket hotline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Répondre ticket hotline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Exporter données loi 18-07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Supprimer son compte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t xml:space="preserve">Légende : ✓ = permis, ✗ = refusé (403 ou 404 selon visibilité)</w:t>
      </w:r>
    </w:p>
    <w:bookmarkEnd w:id="22"/>
    <w:bookmarkStart w:id="27" w:name="décisions-rapides"/>
    <w:p>
      <w:pPr>
        <w:pStyle w:val="Heading1"/>
      </w:pPr>
      <w:r>
        <w:t xml:space="preserve">Décisions rapides</w:t>
      </w:r>
    </w:p>
    <w:bookmarkStart w:id="23" w:name="quel-plan-recommander-à-ce-prospect"/>
    <w:p>
      <w:pPr>
        <w:pStyle w:val="Heading2"/>
      </w:pPr>
      <w:r>
        <w:t xml:space="preserve">“</w:t>
      </w:r>
      <w:r>
        <w:t xml:space="preserve">Quel plan recommander à ce prospect ?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Questions :</w:t>
      </w:r>
      <w:r>
        <w:br/>
      </w:r>
      <w:r>
        <w:rPr>
          <w:rStyle w:val="VerbatimChar"/>
        </w:rPr>
        <w:t xml:space="preserve">├─ Combien d'entreprises à gérer ?</w:t>
      </w:r>
      <w:r>
        <w:br/>
      </w:r>
      <w:r>
        <w:rPr>
          <w:rStyle w:val="VerbatimChar"/>
        </w:rPr>
        <w:t xml:space="preserve">│  ├─ 1 seule</w:t>
      </w:r>
      <w:r>
        <w:br/>
      </w:r>
      <w:r>
        <w:rPr>
          <w:rStyle w:val="VerbatimChar"/>
        </w:rPr>
        <w:t xml:space="preserve">│  │  ├─ Combien d'employés ?</w:t>
      </w:r>
      <w:r>
        <w:br/>
      </w:r>
      <w:r>
        <w:rPr>
          <w:rStyle w:val="VerbatimChar"/>
        </w:rPr>
        <w:t xml:space="preserve">│  │  │  ├─ 1-5       → ARTISAN (5 000 DA)</w:t>
      </w:r>
      <w:r>
        <w:br/>
      </w:r>
      <w:r>
        <w:rPr>
          <w:rStyle w:val="VerbatimChar"/>
        </w:rPr>
        <w:t xml:space="preserve">│  │  │  ├─ 5-30      → PRO (10 000 DA)</w:t>
      </w:r>
      <w:r>
        <w:br/>
      </w:r>
      <w:r>
        <w:rPr>
          <w:rStyle w:val="VerbatimChar"/>
        </w:rPr>
        <w:t xml:space="preserve">│  │  │  └─ 30+       → BUSINESS (15 000 DA)</w:t>
      </w:r>
      <w:r>
        <w:br/>
      </w:r>
      <w:r>
        <w:rPr>
          <w:rStyle w:val="VerbatimChar"/>
        </w:rPr>
        <w:t xml:space="preserve">│  └─ Plusieurs (cabinet) → EXPERT (20 000 DA)</w:t>
      </w:r>
      <w:r>
        <w:br/>
      </w:r>
      <w:r>
        <w:rPr>
          <w:rStyle w:val="VerbatimChar"/>
        </w:rPr>
        <w:t xml:space="preserve">└─ Besoin de support renforcé ?</w:t>
      </w:r>
      <w:r>
        <w:br/>
      </w:r>
      <w:r>
        <w:rPr>
          <w:rStyle w:val="VerbatimChar"/>
        </w:rPr>
        <w:t xml:space="preserve">   └─ Ajouter HOTLINE (+4 000 DA)</w:t>
      </w:r>
    </w:p>
    <w:bookmarkEnd w:id="23"/>
    <w:bookmarkStart w:id="24" w:name="Xd0a2d7f740ca03e316ff1ef772147bba3e558ca"/>
    <w:p>
      <w:pPr>
        <w:pStyle w:val="Heading2"/>
      </w:pPr>
      <w:r>
        <w:t xml:space="preserve">“</w:t>
      </w:r>
      <w:r>
        <w:t xml:space="preserve">Est-ce que ce prospect peut utiliser le Cas 3 ?</w:t>
      </w:r>
      <w:r>
        <w:t xml:space="preserve">”</w:t>
      </w:r>
    </w:p>
    <w:p>
      <w:pPr>
        <w:pStyle w:val="FirstParagraph"/>
      </w:pPr>
      <w:r>
        <w:t xml:space="preserve">Oui si et seulement si :</w:t>
      </w:r>
    </w:p>
    <w:p>
      <w:pPr>
        <w:numPr>
          <w:ilvl w:val="0"/>
          <w:numId w:val="1002"/>
        </w:numPr>
        <w:pStyle w:val="Compact"/>
      </w:pPr>
      <w:r>
        <w:t xml:space="preserve">Il a un compte Cas 1 ou Cas 2 actif (plan ≥ ARTISAN)</w:t>
      </w:r>
    </w:p>
    <w:p>
      <w:pPr>
        <w:numPr>
          <w:ilvl w:val="0"/>
          <w:numId w:val="1002"/>
        </w:numPr>
        <w:pStyle w:val="Compact"/>
      </w:pPr>
      <w:r>
        <w:t xml:space="preserve">Il accepte de payer à l’acte (prestation HT + TVA 19 %)</w:t>
      </w:r>
    </w:p>
    <w:p>
      <w:pPr>
        <w:numPr>
          <w:ilvl w:val="0"/>
          <w:numId w:val="1002"/>
        </w:numPr>
        <w:pStyle w:val="Compact"/>
      </w:pPr>
      <w:r>
        <w:t xml:space="preserve">Il accepte de signer un mandat électronique borné en temps et en périmètre</w:t>
      </w:r>
    </w:p>
    <w:bookmarkEnd w:id="24"/>
    <w:bookmarkStart w:id="25" w:name="Xa8f6dd799f5038429b261d30eb7fdf7b3bb70eb"/>
    <w:p>
      <w:pPr>
        <w:pStyle w:val="Heading2"/>
      </w:pPr>
      <w:r>
        <w:t xml:space="preserve">“</w:t>
      </w:r>
      <w:r>
        <w:t xml:space="preserve">Quelle information remonte dans le dashboard ?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1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 affichés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coffre, alertes expiration, références, AO actifs, factures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pour chaque entreprise + vue agrégée du portefeuille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Missions en cours, note moyenne, nombre missions terminées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 entreprises, transactions, tickets ouverts, assistants actifs</w:t>
            </w:r>
          </w:p>
        </w:tc>
      </w:tr>
    </w:tbl>
    <w:bookmarkEnd w:id="25"/>
    <w:bookmarkStart w:id="26" w:name="quels-écrans-sont-visibles-selon-le-plan"/>
    <w:p>
      <w:pPr>
        <w:pStyle w:val="Heading2"/>
      </w:pPr>
      <w:r>
        <w:t xml:space="preserve">“</w:t>
      </w:r>
      <w:r>
        <w:t xml:space="preserve">Quels écrans sont visibles selon le plan ?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018"/>
        <w:gridCol w:w="678"/>
        <w:gridCol w:w="452"/>
        <w:gridCol w:w="339"/>
        <w:gridCol w:w="1018"/>
        <w:gridCol w:w="905"/>
        <w:gridCol w:w="1131"/>
        <w:gridCol w:w="1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Coffre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Chiffrage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Dossiers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Assistance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Facturation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DECOUVERTE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ARTISAN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26"/>
    <w:bookmarkEnd w:id="27"/>
    <w:bookmarkStart w:id="28" w:name="flux-de-revenus"/>
    <w:p>
      <w:pPr>
        <w:pStyle w:val="Heading1"/>
      </w:pPr>
      <w:r>
        <w:t xml:space="preserve">Flux de revenus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Revenus récurrents (MRR)                            │</w:t>
      </w:r>
      <w:r>
        <w:br/>
      </w:r>
      <w:r>
        <w:rPr>
          <w:rStyle w:val="VerbatimChar"/>
        </w:rPr>
        <w:t xml:space="preserve">│ - Abonnements mensuels / annuels                    │</w:t>
      </w:r>
      <w:r>
        <w:br/>
      </w:r>
      <w:r>
        <w:rPr>
          <w:rStyle w:val="VerbatimChar"/>
        </w:rPr>
        <w:t xml:space="preserve">│ - 5 000 à 20 000 DA/mois × N entreprises            │</w:t>
      </w:r>
      <w:r>
        <w:br/>
      </w:r>
      <w:r>
        <w:rPr>
          <w:rStyle w:val="VerbatimChar"/>
        </w:rPr>
        <w:t xml:space="preserve">│ - Add-on HOTLINE 4 000 DA/mois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┌────────────────────────▼────────────────────────────┐</w:t>
      </w:r>
      <w:r>
        <w:br/>
      </w:r>
      <w:r>
        <w:rPr>
          <w:rStyle w:val="VerbatimChar"/>
        </w:rPr>
        <w:t xml:space="preserve">│ Revenus à l'acte                                    │</w:t>
      </w:r>
      <w:r>
        <w:br/>
      </w:r>
      <w:r>
        <w:rPr>
          <w:rStyle w:val="VerbatimChar"/>
        </w:rPr>
        <w:t xml:space="preserve">│ - Mode sans abonnement 5 000 DA/dossier             │</w:t>
      </w:r>
      <w:r>
        <w:br/>
      </w:r>
      <w:r>
        <w:rPr>
          <w:rStyle w:val="VerbatimChar"/>
        </w:rPr>
        <w:t xml:space="preserve">│ - Commission Cas 3 30 % sur prestations             │</w:t>
      </w:r>
      <w:r>
        <w:br/>
      </w:r>
      <w:r>
        <w:rPr>
          <w:rStyle w:val="VerbatimChar"/>
        </w:rPr>
        <w:t xml:space="preserve">│   (8 000 à 95 000 DA HT par prestation)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┌────────────────────────▼────────────────────────────┐</w:t>
      </w:r>
      <w:r>
        <w:br/>
      </w:r>
      <w:r>
        <w:rPr>
          <w:rStyle w:val="VerbatimChar"/>
        </w:rPr>
        <w:t xml:space="preserve">│ Coûts                                               │</w:t>
      </w:r>
      <w:r>
        <w:br/>
      </w:r>
      <w:r>
        <w:rPr>
          <w:rStyle w:val="VerbatimChar"/>
        </w:rPr>
        <w:t xml:space="preserve">│ - Paiement assistants Cas 3 (70 % du HT)            │</w:t>
      </w:r>
      <w:r>
        <w:br/>
      </w:r>
      <w:r>
        <w:rPr>
          <w:rStyle w:val="VerbatimChar"/>
        </w:rPr>
        <w:t xml:space="preserve">│ - Hébergement cloud Algérie (~30 000 DA/mois)       │</w:t>
      </w:r>
      <w:r>
        <w:br/>
      </w:r>
      <w:r>
        <w:rPr>
          <w:rStyle w:val="VerbatimChar"/>
        </w:rPr>
        <w:t xml:space="preserve">│ - Support (heures Belhof + freelance)               │</w:t>
      </w:r>
      <w:r>
        <w:br/>
      </w:r>
      <w:r>
        <w:rPr>
          <w:rStyle w:val="VerbatimChar"/>
        </w:rPr>
        <w:t xml:space="preserve">│ - Marketing bouche à oreille (0 coût direct)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8"/>
    <w:bookmarkStart w:id="29" w:name="parcours-type-en-une-phrase"/>
    <w:p>
      <w:pPr>
        <w:pStyle w:val="Heading1"/>
      </w:pPr>
      <w:r>
        <w:t xml:space="preserve">Parcours-type en une phrase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Cas 1</w:t>
      </w:r>
      <w:r>
        <w:t xml:space="preserve"> </w:t>
      </w:r>
      <w:r>
        <w:t xml:space="preserve">: « Brahim ouvre SOUMISSION.DZ, importe son AO, l’outil extrait les champs et lui dit 88/100 avec 2 warnings ; il corrige, chiffre, génère le DOCX, dépose. »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Cas 2</w:t>
      </w:r>
      <w:r>
        <w:t xml:space="preserve"> </w:t>
      </w:r>
      <w:r>
        <w:t xml:space="preserve">: « Mourad ouvre la plateforme, bascule sur l’entreprise X de son portefeuille, fait le travail comme pour son propre compte ; en fin de mois il reçoit une seule facture SOUMISSION.DZ pour les 3 entreprises. »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Cas 3</w:t>
      </w:r>
      <w:r>
        <w:t xml:space="preserve"> </w:t>
      </w:r>
      <w:r>
        <w:t xml:space="preserve">: « Brahim a un AO urgent, demande URGENCE_72H, paie 113 050 DA TTC, signe le mandat, Yacine traite, livre sous 72 h, Brahim valide et Yacine est payé. »</w:t>
      </w:r>
    </w:p>
    <w:bookmarkEnd w:id="29"/>
    <w:bookmarkStart w:id="30" w:name="erreurs-fréquentes-à-éviter"/>
    <w:p>
      <w:pPr>
        <w:pStyle w:val="Heading1"/>
      </w:pPr>
      <w:r>
        <w:t xml:space="preserve">Erreurs fréquentes à éviter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Confondre Cas 2 et Cas 3.</w:t>
      </w:r>
      <w:r>
        <w:t xml:space="preserve"> </w:t>
      </w:r>
      <w:r>
        <w:t xml:space="preserve">Cas 2 = consultant qui gère N entreprises sous abonnement. Cas 3 = assistant qui intervient ponctuellement via mandat.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Recommander EXPERT à une entreprise seule.</w:t>
      </w:r>
      <w:r>
        <w:t xml:space="preserve"> </w:t>
      </w:r>
      <w:r>
        <w:t xml:space="preserve">EXPERT = cabinet. Pour 1 entreprise grosse, BUSINESS suffit.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Proposer Cas 3 à un compte DECOUVERTE.</w:t>
      </w:r>
      <w:r>
        <w:t xml:space="preserve"> </w:t>
      </w:r>
      <w:r>
        <w:t xml:space="preserve">Nécessite un plan payant actif.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Penser que l’assistant Cas 3 voit tout.</w:t>
      </w:r>
      <w:r>
        <w:t xml:space="preserve"> </w:t>
      </w:r>
      <w:r>
        <w:t xml:space="preserve">Il voit uniquement ce que le mandat autorise, sur la durée spécifiée.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SOUMISSION.DZ — Synthèse des parcours</dc:title>
  <dc:creator>Équipe SOUMISSION.DZ</dc:creator>
  <cp:keywords/>
  <dcterms:created xsi:type="dcterms:W3CDTF">2026-04-13T18:36:18Z</dcterms:created>
  <dcterms:modified xsi:type="dcterms:W3CDTF">2026-04-13T18:36:18Z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Avril 2026 — Version 5.0</vt:lpwstr>
  </property>
  <property fmtid="{D5CDD505-2E9C-101B-9397-08002B2CF9AE}" pid="3" name="subtitle">
    <vt:lpwstr>Comparaison des 3 cas d’usage, matrice fonctionnelle, décisions rapides</vt:lpwstr>
  </property>
</Properties>
</file>