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2D5A7B"/>
          <w:sz w:val="18"/>
          <w:szCs w:val="18"/>
        </w:rPr>
        <w:t xml:space="preserve">TRADEWINDS SOLUTIONS MARKETPLACE  ·  5-MINUTE VIDEO PITCH</w:t>
      </w:r>
    </w:p>
    <w:p>
      <w:pPr>
        <w:spacing w:after="80"/>
        <w:jc w:val="center"/>
      </w:pPr>
      <w:r>
        <w:rPr>
          <w:rFonts w:ascii="Arial" w:cs="Arial" w:eastAsia="Arial" w:hAnsi="Arial"/>
          <w:b/>
          <w:bCs/>
          <w:color w:val="1A1A2E"/>
          <w:sz w:val="52"/>
          <w:szCs w:val="52"/>
        </w:rPr>
        <w:t xml:space="preserve">MigrateIQ</w:t>
      </w:r>
    </w:p>
    <w:p>
      <w:pPr>
        <w:spacing w:after="200"/>
        <w:jc w:val="center"/>
      </w:pPr>
      <w:r>
        <w:rPr>
          <w:rFonts w:ascii="Arial" w:cs="Arial" w:eastAsia="Arial" w:hAnsi="Arial"/>
          <w:i/>
          <w:iCs/>
          <w:color w:val="D4A843"/>
          <w:sz w:val="28"/>
          <w:szCs w:val="28"/>
        </w:rPr>
        <w:t xml:space="preserve">Analytics Platform Migration Accelerator</w:t>
      </w:r>
    </w:p>
    <w:p>
      <w:pPr>
        <w:pBdr>
          <w:bottom w:val="single" w:color="D4A843" w:sz="4" w:space="1"/>
        </w:pBdr>
        <w:spacing w:before="100" w:after="100"/>
      </w:pPr>
    </w:p>
    <w:p>
      <w:pPr>
        <w:spacing w:after="60"/>
        <w:jc w:val="center"/>
      </w:pPr>
      <w:r>
        <w:rPr>
          <w:rFonts w:ascii="Arial" w:cs="Arial" w:eastAsia="Arial" w:hAnsi="Arial"/>
          <w:color w:val="6B7280"/>
          <w:sz w:val="22"/>
          <w:szCs w:val="22"/>
        </w:rPr>
        <w:t xml:space="preserve">Script + Storyboard  ·  Video Production Guide</w:t>
      </w:r>
    </w:p>
    <w:p>
      <w:pPr>
        <w:spacing w:after="300"/>
        <w:jc w:val="center"/>
      </w:pPr>
      <w:r>
        <w:rPr>
          <w:rFonts w:ascii="Arial" w:cs="Arial" w:eastAsia="Arial" w:hAnsi="Arial"/>
          <w:color w:val="6B7280"/>
          <w:sz w:val="20"/>
          <w:szCs w:val="20"/>
        </w:rPr>
        <w:t xml:space="preserve">Focus Area: Data Analytics / Digital Transformation</w:t>
      </w:r>
    </w:p>
    <w:p>
      <w:pPr>
        <w:jc w:val="center"/>
      </w:pPr>
      <w:r>
        <w:rPr>
          <w:rFonts w:ascii="Arial" w:cs="Arial" w:eastAsia="Arial" w:hAnsi="Arial"/>
          <w:color w:val="6B7280"/>
          <w:sz w:val="20"/>
          <w:szCs w:val="20"/>
        </w:rPr>
        <w:t xml:space="preserve">DRAFT  ·  February 2026</w:t>
      </w:r>
    </w:p>
    <w:p>
      <w:r>
        <w:br w:type="page"/>
      </w:r>
    </w:p>
    <w:p>
      <w:pPr>
        <w:pStyle w:val="Heading1"/>
      </w:pPr>
      <w:r>
        <w:t xml:space="preserve">Pre-Production Notes</w:t>
      </w:r>
    </w:p>
    <w:p>
      <w:pPr>
        <w:pStyle w:val="Heading2"/>
      </w:pPr>
      <w:r>
        <w:t xml:space="preserve">Positioning Strategy</w:t>
      </w:r>
    </w:p>
    <w:p>
      <w:pPr>
        <w:spacing w:after="100"/>
        <w:ind w:left="360"/>
      </w:pPr>
      <w:r>
        <w:rPr>
          <w:rFonts w:ascii="Arial" w:cs="Arial" w:eastAsia="Arial" w:hAnsi="Arial"/>
          <w:sz w:val="22"/>
          <w:szCs w:val="22"/>
        </w:rPr>
        <w:t xml:space="preserve">The TSM rubric evaluates: clarity of communication, technical merit, mission relevance, innovation, and scalability. Our challenge is that this is a methodology-plus-platform solution, not a pure software product. The framing strategy:</w:t>
      </w:r>
    </w:p>
    <w:p>
      <w:pPr>
        <w:pStyle w:val="ListParagraph"/>
        <w:numPr>
          <w:ilvl w:val="0"/>
          <w:numId w:val="2"/>
        </w:numPr>
        <w:spacing w:after="60"/>
      </w:pPr>
      <w:r>
        <w:rPr>
          <w:rFonts w:ascii="Arial" w:cs="Arial" w:eastAsia="Arial" w:hAnsi="Arial"/>
          <w:b/>
          <w:bCs/>
          <w:sz w:val="22"/>
          <w:szCs w:val="22"/>
        </w:rPr>
        <w:t xml:space="preserve">Lead with the platform, not the service. </w:t>
      </w:r>
      <w:r>
        <w:rPr>
          <w:rFonts w:ascii="Arial" w:cs="Arial" w:eastAsia="Arial" w:hAnsi="Arial"/>
          <w:sz w:val="22"/>
          <w:szCs w:val="22"/>
        </w:rPr>
        <w:t xml:space="preserve">MigrateIQ is a deployable digital solution (portal, assessment engine, scenario planner, migration tracker) that happens to include an enablement methodology. Assessors see a technology artifact.</w:t>
      </w:r>
    </w:p>
    <w:p>
      <w:pPr>
        <w:pStyle w:val="ListParagraph"/>
        <w:numPr>
          <w:ilvl w:val="0"/>
          <w:numId w:val="2"/>
        </w:numPr>
        <w:spacing w:after="60"/>
      </w:pPr>
      <w:r>
        <w:rPr>
          <w:rFonts w:ascii="Arial" w:cs="Arial" w:eastAsia="Arial" w:hAnsi="Arial"/>
          <w:b/>
          <w:bCs/>
          <w:sz w:val="22"/>
          <w:szCs w:val="22"/>
        </w:rPr>
        <w:t xml:space="preserve">Name it like a product. </w:t>
      </w:r>
      <w:r>
        <w:rPr>
          <w:rFonts w:ascii="Arial" w:cs="Arial" w:eastAsia="Arial" w:hAnsi="Arial"/>
          <w:sz w:val="22"/>
          <w:szCs w:val="22"/>
        </w:rPr>
        <w:t xml:space="preserve">"MigrateIQ" gives it product gravity. Subtitle: "Analytics Platform Migration Accelerator." This positions alongside Databricks, Palantir, C3 AI in the marketplace.</w:t>
      </w:r>
    </w:p>
    <w:p>
      <w:pPr>
        <w:pStyle w:val="ListParagraph"/>
        <w:numPr>
          <w:ilvl w:val="0"/>
          <w:numId w:val="2"/>
        </w:numPr>
        <w:spacing w:after="60"/>
      </w:pPr>
      <w:r>
        <w:rPr>
          <w:rFonts w:ascii="Arial" w:cs="Arial" w:eastAsia="Arial" w:hAnsi="Arial"/>
          <w:b/>
          <w:bCs/>
          <w:sz w:val="22"/>
          <w:szCs w:val="22"/>
        </w:rPr>
        <w:t xml:space="preserve">Show, don't tell. </w:t>
      </w:r>
      <w:r>
        <w:rPr>
          <w:rFonts w:ascii="Arial" w:cs="Arial" w:eastAsia="Arial" w:hAnsi="Arial"/>
          <w:sz w:val="22"/>
          <w:szCs w:val="22"/>
        </w:rPr>
        <w:t xml:space="preserve">The video should screen-capture the CoP portal, the scenario planner, and the migration tracker in action. Live demo beats slides.</w:t>
      </w:r>
    </w:p>
    <w:p>
      <w:pPr>
        <w:pStyle w:val="ListParagraph"/>
        <w:numPr>
          <w:ilvl w:val="0"/>
          <w:numId w:val="2"/>
        </w:numPr>
        <w:spacing w:after="60"/>
      </w:pPr>
      <w:r>
        <w:rPr>
          <w:rFonts w:ascii="Arial" w:cs="Arial" w:eastAsia="Arial" w:hAnsi="Arial"/>
          <w:b/>
          <w:bCs/>
          <w:sz w:val="22"/>
          <w:szCs w:val="22"/>
        </w:rPr>
        <w:t xml:space="preserve">Ground in DoD mission relevance. </w:t>
      </w:r>
      <w:r>
        <w:rPr>
          <w:rFonts w:ascii="Arial" w:cs="Arial" w:eastAsia="Arial" w:hAnsi="Arial"/>
          <w:sz w:val="22"/>
          <w:szCs w:val="22"/>
        </w:rPr>
        <w:t xml:space="preserve">Data-driven decision-making requires functional analytics. Legacy platform disinvestment is a real and urgent problem across the DoD. CDAO itself is pushing agencies toward modern data stacks.</w:t>
      </w:r>
    </w:p>
    <w:p>
      <w:pPr>
        <w:pStyle w:val="ListParagraph"/>
        <w:numPr>
          <w:ilvl w:val="0"/>
          <w:numId w:val="2"/>
        </w:numPr>
        <w:spacing w:after="120"/>
      </w:pPr>
      <w:r>
        <w:rPr>
          <w:rFonts w:ascii="Arial" w:cs="Arial" w:eastAsia="Arial" w:hAnsi="Arial"/>
          <w:b/>
          <w:bCs/>
          <w:sz w:val="22"/>
          <w:szCs w:val="22"/>
        </w:rPr>
        <w:t xml:space="preserve">Scalability is your ace. </w:t>
      </w:r>
      <w:r>
        <w:rPr>
          <w:rFonts w:ascii="Arial" w:cs="Arial" w:eastAsia="Arial" w:hAnsi="Arial"/>
          <w:sz w:val="22"/>
          <w:szCs w:val="22"/>
        </w:rPr>
        <w:t xml:space="preserve">This solution works for 300 dashboards or 30,000. Any agency facing platform disinvestment (MicroStrategy, Cognos, BusinessObjects) can deploy it. That's enterprise-scale reusability.</w:t>
      </w:r>
    </w:p>
    <w:p>
      <w:pPr>
        <w:pStyle w:val="Heading2"/>
      </w:pPr>
      <w:r>
        <w:t xml:space="preserve">Video Production Notes</w:t>
      </w:r>
    </w:p>
    <w:p>
      <w:pPr>
        <w:pStyle w:val="ListParagraph"/>
        <w:numPr>
          <w:ilvl w:val="0"/>
          <w:numId w:val="3"/>
        </w:numPr>
        <w:spacing w:after="60"/>
      </w:pPr>
      <w:r>
        <w:rPr>
          <w:rFonts w:ascii="Arial" w:cs="Arial" w:eastAsia="Arial" w:hAnsi="Arial"/>
          <w:sz w:val="22"/>
          <w:szCs w:val="22"/>
        </w:rPr>
        <w:t xml:space="preserve">Total runtime: 4:50 (with 10-second buffer). The TSM hard-cuts at 5:00.</w:t>
      </w:r>
    </w:p>
    <w:p>
      <w:pPr>
        <w:pStyle w:val="ListParagraph"/>
        <w:numPr>
          <w:ilvl w:val="0"/>
          <w:numId w:val="3"/>
        </w:numPr>
        <w:spacing w:after="60"/>
      </w:pPr>
      <w:r>
        <w:rPr>
          <w:rFonts w:ascii="Arial" w:cs="Arial" w:eastAsia="Arial" w:hAnsi="Arial"/>
          <w:sz w:val="22"/>
          <w:szCs w:val="22"/>
        </w:rPr>
        <w:t xml:space="preserve">Format: Speaker on camera (top-right picture-in-picture) with screen share of the solution demo as the primary visual.</w:t>
      </w:r>
    </w:p>
    <w:p>
      <w:pPr>
        <w:pStyle w:val="ListParagraph"/>
        <w:numPr>
          <w:ilvl w:val="0"/>
          <w:numId w:val="3"/>
        </w:numPr>
        <w:spacing w:after="60"/>
      </w:pPr>
      <w:r>
        <w:rPr>
          <w:rFonts w:ascii="Arial" w:cs="Arial" w:eastAsia="Arial" w:hAnsi="Arial"/>
          <w:sz w:val="22"/>
          <w:szCs w:val="22"/>
        </w:rPr>
        <w:t xml:space="preserve">Open with the problem (hook in first 15 seconds). Assessors watch dozens of videos.</w:t>
      </w:r>
    </w:p>
    <w:p>
      <w:pPr>
        <w:pStyle w:val="ListParagraph"/>
        <w:numPr>
          <w:ilvl w:val="0"/>
          <w:numId w:val="3"/>
        </w:numPr>
        <w:spacing w:after="60"/>
      </w:pPr>
      <w:r>
        <w:rPr>
          <w:rFonts w:ascii="Arial" w:cs="Arial" w:eastAsia="Arial" w:hAnsi="Arial"/>
          <w:sz w:val="22"/>
          <w:szCs w:val="22"/>
        </w:rPr>
        <w:t xml:space="preserve">Include company self-certification slide at the end (required).</w:t>
      </w:r>
    </w:p>
    <w:p>
      <w:pPr>
        <w:pStyle w:val="ListParagraph"/>
        <w:numPr>
          <w:ilvl w:val="0"/>
          <w:numId w:val="3"/>
        </w:numPr>
        <w:spacing w:after="120"/>
      </w:pPr>
      <w:r>
        <w:rPr>
          <w:rFonts w:ascii="Arial" w:cs="Arial" w:eastAsia="Arial" w:hAnsi="Arial"/>
          <w:sz w:val="22"/>
          <w:szCs w:val="22"/>
        </w:rPr>
        <w:t xml:space="preserve">Keep it unclassified, non-proprietary. No CUI.</w:t>
      </w:r>
    </w:p>
    <w:p>
      <w:r>
        <w:br w:type="page"/>
      </w:r>
    </w:p>
    <w:p>
      <w:pPr>
        <w:pStyle w:val="Heading1"/>
      </w:pPr>
      <w:r>
        <w:t xml:space="preserve">Video Script + Storyboard</w:t>
      </w:r>
    </w:p>
    <w:p>
      <w:pPr>
        <w:spacing w:after="200"/>
      </w:pPr>
      <w:r>
        <w:rPr>
          <w:rFonts w:ascii="Arial" w:cs="Arial" w:eastAsia="Arial" w:hAnsi="Arial"/>
          <w:i/>
          <w:iCs/>
          <w:color w:val="6B7280"/>
          <w:sz w:val="20"/>
          <w:szCs w:val="20"/>
        </w:rPr>
        <w:t xml:space="preserve">Purple italics = visual/screen cues for video editor. Black text = spoken script. Yellow = delivery tips.</w:t>
      </w:r>
    </w:p>
    <w:p>
      <w:pPr>
        <w:pStyle w:val="Heading2"/>
      </w:pPr>
      <w:r>
        <w:t xml:space="preserve">Segment 1: The Hook</w:t>
      </w:r>
    </w:p>
    <w:p>
      <w:pPr>
        <w:spacing w:before="200" w:after="60"/>
      </w:pPr>
      <w:r>
        <w:rPr>
          <w:rFonts w:ascii="JetBrains Mono" w:cs="JetBrains Mono" w:eastAsia="JetBrains Mono" w:hAnsi="JetBrains Mono"/>
          <w:b/>
          <w:bCs/>
          <w:color w:val="2D5A7B"/>
          <w:sz w:val="18"/>
          <w:szCs w:val="18"/>
        </w:rPr>
        <w:t xml:space="preserve">0:00 – 0:30  (30 seconds)</w:t>
      </w:r>
    </w:p>
    <w:p>
      <w:pPr>
        <w:spacing w:after="80"/>
        <w:ind w:left="360"/>
      </w:pPr>
      <w:r>
        <w:rPr>
          <w:rFonts w:ascii="Arial" w:cs="Arial" w:eastAsia="Arial" w:hAnsi="Arial"/>
          <w:i/>
          <w:iCs/>
          <w:color w:val="7C3AED"/>
          <w:sz w:val="20"/>
          <w:szCs w:val="20"/>
        </w:rPr>
        <w:t xml:space="preserve">[VISUAL: </w:t>
      </w:r>
      <w:r>
        <w:rPr>
          <w:rFonts w:ascii="Arial" w:cs="Arial" w:eastAsia="Arial" w:hAnsi="Arial"/>
          <w:i/>
          <w:iCs/>
          <w:color w:val="7C3AED"/>
          <w:sz w:val="20"/>
          <w:szCs w:val="20"/>
        </w:rPr>
        <w:t xml:space="preserve">Title card: MigrateIQ logo + tagline. Fade to speaker on camera.</w:t>
      </w:r>
      <w:r>
        <w:rPr>
          <w:rFonts w:ascii="Arial" w:cs="Arial" w:eastAsia="Arial" w:hAnsi="Arial"/>
          <w:i/>
          <w:iCs/>
          <w:color w:val="7C3AED"/>
          <w:sz w:val="20"/>
          <w:szCs w:val="20"/>
        </w:rPr>
        <w:t xml:space="preserve">]</w:t>
      </w:r>
    </w:p>
    <w:p>
      <w:pPr>
        <w:spacing w:after="100"/>
        <w:ind w:left="360"/>
      </w:pPr>
      <w:r>
        <w:rPr>
          <w:rFonts w:ascii="Arial" w:cs="Arial" w:eastAsia="Arial" w:hAnsi="Arial"/>
          <w:sz w:val="22"/>
          <w:szCs w:val="22"/>
        </w:rPr>
        <w:t xml:space="preserve">Right now, across the Department of Defense, agencies are sitting on thousands of legacy analytics dashboards built on platforms that are being disinvested — MicroStrategy, Cognos, BusinessObjects. The mandate is clear: modernize. But the execution is a nightmare.</w:t>
      </w:r>
    </w:p>
    <w:p>
      <w:pPr>
        <w:spacing w:after="100"/>
        <w:ind w:left="360"/>
      </w:pPr>
      <w:r>
        <w:rPr>
          <w:rFonts w:ascii="Arial" w:cs="Arial" w:eastAsia="Arial" w:hAnsi="Arial"/>
          <w:sz w:val="22"/>
          <w:szCs w:val="22"/>
        </w:rPr>
        <w:t xml:space="preserve">The typical approach? Hire a big contractor team, rewrite everything, hope it works. That costs tens of millions of dollars, takes years, and the agency ends up just as dependent on contractors as before — on a different platform.</w:t>
      </w:r>
    </w:p>
    <w:p>
      <w:pPr>
        <w:spacing w:after="100"/>
        <w:ind w:left="360"/>
      </w:pPr>
      <w:r>
        <w:rPr>
          <w:rFonts w:ascii="Arial" w:cs="Arial" w:eastAsia="Arial" w:hAnsi="Arial"/>
          <w:sz w:val="22"/>
          <w:szCs w:val="22"/>
        </w:rPr>
        <w:t xml:space="preserve">We built MigrateIQ to solve this differently.</w:t>
      </w:r>
    </w:p>
    <w:p>
      <w:pPr>
        <w:spacing w:after="80"/>
        <w:ind w:left="360"/>
      </w:pPr>
      <w:r>
        <w:rPr>
          <w:rFonts w:ascii="Arial" w:cs="Arial" w:eastAsia="Arial" w:hAnsi="Arial"/>
          <w:i/>
          <w:iCs/>
          <w:color w:val="7C3AED"/>
          <w:sz w:val="20"/>
          <w:szCs w:val="20"/>
        </w:rPr>
        <w:t xml:space="preserve">[VISUAL: </w:t>
      </w:r>
      <w:r>
        <w:rPr>
          <w:rFonts w:ascii="Arial" w:cs="Arial" w:eastAsia="Arial" w:hAnsi="Arial"/>
          <w:i/>
          <w:iCs/>
          <w:color w:val="7C3AED"/>
          <w:sz w:val="20"/>
          <w:szCs w:val="20"/>
        </w:rPr>
        <w:t xml:space="preserve">Transition: Screen share of MigrateIQ CoP portal dashboard.</w:t>
      </w:r>
      <w:r>
        <w:rPr>
          <w:rFonts w:ascii="Arial" w:cs="Arial" w:eastAsia="Arial" w:hAnsi="Arial"/>
          <w:i/>
          <w:iCs/>
          <w:color w:val="7C3AED"/>
          <w:sz w:val="20"/>
          <w:szCs w:val="20"/>
        </w:rPr>
        <w:t xml:space="preserve">]</w:t>
      </w:r>
    </w:p>
    <w:p>
      <w:pPr>
        <w:shd w:fill="FEF3C7" w:val="clear"/>
        <w:spacing w:before="60" w:after="120"/>
        <w:ind w:left="360"/>
      </w:pPr>
      <w:r>
        <w:rPr>
          <w:rFonts w:ascii="Arial" w:cs="Arial" w:eastAsia="Arial" w:hAnsi="Arial"/>
          <w:b/>
          <w:bCs/>
          <w:color w:val="D97706"/>
          <w:sz w:val="20"/>
          <w:szCs w:val="20"/>
        </w:rPr>
        <w:t xml:space="preserve">TIP: </w:t>
      </w:r>
      <w:r>
        <w:rPr>
          <w:rFonts w:ascii="Arial" w:cs="Arial" w:eastAsia="Arial" w:hAnsi="Arial"/>
          <w:color w:val="92400E"/>
          <w:sz w:val="20"/>
          <w:szCs w:val="20"/>
        </w:rPr>
        <w:t xml:space="preserve">Deliver this opening with energy and authority. The assessors need to feel the pain in the first 10 seconds. Don't rush — let the problem land before pivoting to the solution.</w:t>
      </w:r>
    </w:p>
    <w:p>
      <w:pPr>
        <w:pStyle w:val="Heading2"/>
      </w:pPr>
      <w:r>
        <w:t xml:space="preserve">Segment 2: What MigrateIQ Is</w:t>
      </w:r>
    </w:p>
    <w:p>
      <w:pPr>
        <w:spacing w:before="200" w:after="60"/>
      </w:pPr>
      <w:r>
        <w:rPr>
          <w:rFonts w:ascii="JetBrains Mono" w:cs="JetBrains Mono" w:eastAsia="JetBrains Mono" w:hAnsi="JetBrains Mono"/>
          <w:b/>
          <w:bCs/>
          <w:color w:val="2D5A7B"/>
          <w:sz w:val="18"/>
          <w:szCs w:val="18"/>
        </w:rPr>
        <w:t xml:space="preserve">0:30 – 1:30  (60 seconds)</w:t>
      </w:r>
    </w:p>
    <w:p>
      <w:pPr>
        <w:spacing w:after="80"/>
        <w:ind w:left="360"/>
      </w:pPr>
      <w:r>
        <w:rPr>
          <w:rFonts w:ascii="Arial" w:cs="Arial" w:eastAsia="Arial" w:hAnsi="Arial"/>
          <w:i/>
          <w:iCs/>
          <w:color w:val="7C3AED"/>
          <w:sz w:val="20"/>
          <w:szCs w:val="20"/>
        </w:rPr>
        <w:t xml:space="preserve">[VISUAL: </w:t>
      </w:r>
      <w:r>
        <w:rPr>
          <w:rFonts w:ascii="Arial" w:cs="Arial" w:eastAsia="Arial" w:hAnsi="Arial"/>
          <w:i/>
          <w:iCs/>
          <w:color w:val="7C3AED"/>
          <w:sz w:val="20"/>
          <w:szCs w:val="20"/>
        </w:rPr>
        <w:t xml:space="preserve">Screen: CoP portal homepage with migration tracker, activity feed, and stats visible.</w:t>
      </w:r>
      <w:r>
        <w:rPr>
          <w:rFonts w:ascii="Arial" w:cs="Arial" w:eastAsia="Arial" w:hAnsi="Arial"/>
          <w:i/>
          <w:iCs/>
          <w:color w:val="7C3AED"/>
          <w:sz w:val="20"/>
          <w:szCs w:val="20"/>
        </w:rPr>
        <w:t xml:space="preserve">]</w:t>
      </w:r>
    </w:p>
    <w:p>
      <w:pPr>
        <w:spacing w:after="100"/>
        <w:ind w:left="360"/>
      </w:pPr>
      <w:r>
        <w:rPr>
          <w:rFonts w:ascii="Arial" w:cs="Arial" w:eastAsia="Arial" w:hAnsi="Arial"/>
          <w:sz w:val="22"/>
          <w:szCs w:val="22"/>
        </w:rPr>
        <w:t xml:space="preserve">MigrateIQ is an analytics platform migration accelerator. It's a deployable digital solution that combines three things: a portfolio intelligence engine, a Community of Practice enablement platform, and on-demand professional services — all integrated into a single portal.</w:t>
      </w:r>
    </w:p>
    <w:p>
      <w:pPr>
        <w:spacing w:after="100"/>
        <w:ind w:left="360"/>
      </w:pPr>
      <w:r>
        <w:rPr>
          <w:rFonts w:ascii="Arial" w:cs="Arial" w:eastAsia="Arial" w:hAnsi="Arial"/>
          <w:sz w:val="22"/>
          <w:szCs w:val="22"/>
        </w:rPr>
        <w:t xml:space="preserve">Let me show you what that looks like.</w:t>
      </w:r>
    </w:p>
    <w:p>
      <w:pPr>
        <w:spacing w:after="80"/>
        <w:ind w:left="360"/>
      </w:pPr>
      <w:r>
        <w:rPr>
          <w:rFonts w:ascii="Arial" w:cs="Arial" w:eastAsia="Arial" w:hAnsi="Arial"/>
          <w:i/>
          <w:iCs/>
          <w:color w:val="7C3AED"/>
          <w:sz w:val="20"/>
          <w:szCs w:val="20"/>
        </w:rPr>
        <w:t xml:space="preserve">[VISUAL: </w:t>
      </w:r>
      <w:r>
        <w:rPr>
          <w:rFonts w:ascii="Arial" w:cs="Arial" w:eastAsia="Arial" w:hAnsi="Arial"/>
          <w:i/>
          <w:iCs/>
          <w:color w:val="7C3AED"/>
          <w:sz w:val="20"/>
          <w:szCs w:val="20"/>
        </w:rPr>
        <w:t xml:space="preserve">Screen: Navigate to the migration tracker — show department progress bars, self-service vs. contractor-led breakdown.</w:t>
      </w:r>
      <w:r>
        <w:rPr>
          <w:rFonts w:ascii="Arial" w:cs="Arial" w:eastAsia="Arial" w:hAnsi="Arial"/>
          <w:i/>
          <w:iCs/>
          <w:color w:val="7C3AED"/>
          <w:sz w:val="20"/>
          <w:szCs w:val="20"/>
        </w:rPr>
        <w:t xml:space="preserve">]</w:t>
      </w:r>
    </w:p>
    <w:p>
      <w:pPr>
        <w:spacing w:after="100"/>
        <w:ind w:left="360"/>
      </w:pPr>
      <w:r>
        <w:rPr>
          <w:rFonts w:ascii="Arial" w:cs="Arial" w:eastAsia="Arial" w:hAnsi="Arial"/>
          <w:sz w:val="22"/>
          <w:szCs w:val="22"/>
        </w:rPr>
        <w:t xml:space="preserve">This is the migration command center. Every legacy dashboard in the portfolio is cataloged, classified by complexity, and tracked through migration. Leadership sees real-time progress by department. The blue bars are contractor-led migrations. The gold bars? Those are agency staff who migrated dashboards themselves, using the skills they built through the Community of Practice.</w:t>
      </w:r>
    </w:p>
    <w:p>
      <w:pPr>
        <w:spacing w:after="80"/>
        <w:ind w:left="360"/>
      </w:pPr>
      <w:r>
        <w:rPr>
          <w:rFonts w:ascii="Arial" w:cs="Arial" w:eastAsia="Arial" w:hAnsi="Arial"/>
          <w:i/>
          <w:iCs/>
          <w:color w:val="7C3AED"/>
          <w:sz w:val="20"/>
          <w:szCs w:val="20"/>
        </w:rPr>
        <w:t xml:space="preserve">[VISUAL: </w:t>
      </w:r>
      <w:r>
        <w:rPr>
          <w:rFonts w:ascii="Arial" w:cs="Arial" w:eastAsia="Arial" w:hAnsi="Arial"/>
          <w:i/>
          <w:iCs/>
          <w:color w:val="7C3AED"/>
          <w:sz w:val="20"/>
          <w:szCs w:val="20"/>
        </w:rPr>
        <w:t xml:space="preserve">Screen: Navigate to Portfolio Scenario Planner. Drag the 'Retire' slider up to 40%. Show the effort recalculation in real time.</w:t>
      </w:r>
      <w:r>
        <w:rPr>
          <w:rFonts w:ascii="Arial" w:cs="Arial" w:eastAsia="Arial" w:hAnsi="Arial"/>
          <w:i/>
          <w:iCs/>
          <w:color w:val="7C3AED"/>
          <w:sz w:val="20"/>
          <w:szCs w:val="20"/>
        </w:rPr>
        <w:t xml:space="preserve">]</w:t>
      </w:r>
    </w:p>
    <w:p>
      <w:pPr>
        <w:spacing w:after="100"/>
        <w:ind w:left="360"/>
      </w:pPr>
      <w:r>
        <w:rPr>
          <w:rFonts w:ascii="Arial" w:cs="Arial" w:eastAsia="Arial" w:hAnsi="Arial"/>
          <w:sz w:val="22"/>
          <w:szCs w:val="22"/>
        </w:rPr>
        <w:t xml:space="preserve">This is the portfolio scenario planner. An agency can model different strategies — what if we retire 40% of our dashboards? What if we push self-service to 60%? The tool recalculates effort, cost, and timeline instantly. It turns a migration planning conversation from guesswork into evidence.</w:t>
      </w:r>
    </w:p>
    <w:p>
      <w:pPr>
        <w:shd w:fill="FEF3C7" w:val="clear"/>
        <w:spacing w:before="60" w:after="120"/>
        <w:ind w:left="360"/>
      </w:pPr>
      <w:r>
        <w:rPr>
          <w:rFonts w:ascii="Arial" w:cs="Arial" w:eastAsia="Arial" w:hAnsi="Arial"/>
          <w:b/>
          <w:bCs/>
          <w:color w:val="D97706"/>
          <w:sz w:val="20"/>
          <w:szCs w:val="20"/>
        </w:rPr>
        <w:t xml:space="preserve">TIP: </w:t>
      </w:r>
      <w:r>
        <w:rPr>
          <w:rFonts w:ascii="Arial" w:cs="Arial" w:eastAsia="Arial" w:hAnsi="Arial"/>
          <w:color w:val="92400E"/>
          <w:sz w:val="20"/>
          <w:szCs w:val="20"/>
        </w:rPr>
        <w:t xml:space="preserve">Keep navigating the tool while you talk. Motion on screen holds assessor attention. Don't just describe it — use it live.</w:t>
      </w:r>
    </w:p>
    <w:p>
      <w:pPr>
        <w:pStyle w:val="Heading2"/>
      </w:pPr>
      <w:r>
        <w:t xml:space="preserve">Segment 3: How It Works</w:t>
      </w:r>
    </w:p>
    <w:p>
      <w:pPr>
        <w:spacing w:before="200" w:after="60"/>
      </w:pPr>
      <w:r>
        <w:rPr>
          <w:rFonts w:ascii="JetBrains Mono" w:cs="JetBrains Mono" w:eastAsia="JetBrains Mono" w:hAnsi="JetBrains Mono"/>
          <w:b/>
          <w:bCs/>
          <w:color w:val="2D5A7B"/>
          <w:sz w:val="18"/>
          <w:szCs w:val="18"/>
        </w:rPr>
        <w:t xml:space="preserve">1:30 – 2:45  (75 seconds)</w:t>
      </w:r>
    </w:p>
    <w:p>
      <w:pPr>
        <w:spacing w:after="80"/>
        <w:ind w:left="360"/>
      </w:pPr>
      <w:r>
        <w:rPr>
          <w:rFonts w:ascii="Arial" w:cs="Arial" w:eastAsia="Arial" w:hAnsi="Arial"/>
          <w:i/>
          <w:iCs/>
          <w:color w:val="7C3AED"/>
          <w:sz w:val="20"/>
          <w:szCs w:val="20"/>
        </w:rPr>
        <w:t xml:space="preserve">[VISUAL: </w:t>
      </w:r>
      <w:r>
        <w:rPr>
          <w:rFonts w:ascii="Arial" w:cs="Arial" w:eastAsia="Arial" w:hAnsi="Arial"/>
          <w:i/>
          <w:iCs/>
          <w:color w:val="7C3AED"/>
          <w:sz w:val="20"/>
          <w:szCs w:val="20"/>
        </w:rPr>
        <w:t xml:space="preserve">Screen: Animated phased timeline from the pitch deck — Phase 1, 2, 3 with expanding details.</w:t>
      </w:r>
      <w:r>
        <w:rPr>
          <w:rFonts w:ascii="Arial" w:cs="Arial" w:eastAsia="Arial" w:hAnsi="Arial"/>
          <w:i/>
          <w:iCs/>
          <w:color w:val="7C3AED"/>
          <w:sz w:val="20"/>
          <w:szCs w:val="20"/>
        </w:rPr>
        <w:t xml:space="preserve">]</w:t>
      </w:r>
    </w:p>
    <w:p>
      <w:pPr>
        <w:spacing w:after="100"/>
        <w:ind w:left="360"/>
      </w:pPr>
      <w:r>
        <w:rPr>
          <w:rFonts w:ascii="Arial" w:cs="Arial" w:eastAsia="Arial" w:hAnsi="Arial"/>
          <w:sz w:val="22"/>
          <w:szCs w:val="22"/>
        </w:rPr>
        <w:t xml:space="preserve">MigrateIQ deploys in three phases.</w:t>
      </w:r>
    </w:p>
    <w:p>
      <w:pPr>
        <w:spacing w:after="100"/>
        <w:ind w:left="360"/>
      </w:pPr>
      <w:r>
        <w:rPr>
          <w:rFonts w:ascii="Arial" w:cs="Arial" w:eastAsia="Arial" w:hAnsi="Arial"/>
          <w:sz w:val="22"/>
          <w:szCs w:val="22"/>
        </w:rPr>
        <w:t xml:space="preserve">Phase one — we assess. Our portfolio intelligence engine ingests the legacy dashboard inventory and classifies every asset by complexity: simple republish, medium redesign, complex rearchitect, or retire. At three thousand dashboards, we typically find 30 to 40 percent can be decommissioned immediately. That's instant license savings and immediate scope reduction.</w:t>
      </w:r>
    </w:p>
    <w:p>
      <w:pPr>
        <w:spacing w:after="100"/>
        <w:ind w:left="360"/>
      </w:pPr>
      <w:r>
        <w:rPr>
          <w:rFonts w:ascii="Arial" w:cs="Arial" w:eastAsia="Arial" w:hAnsi="Arial"/>
          <w:sz w:val="22"/>
          <w:szCs w:val="22"/>
        </w:rPr>
        <w:t xml:space="preserve">Phase two — we enable. The Community of Practice platform goes live. Think of it as an internal analytics academy, but practical: office hours with platform experts, dashboard showcases, pair programming, template libraries, and self-paced training paths. Agency analysts start migrating their own dashboards — with coaching, not dependency.</w:t>
      </w:r>
    </w:p>
    <w:p>
      <w:pPr>
        <w:spacing w:after="80"/>
        <w:ind w:left="360"/>
      </w:pPr>
      <w:r>
        <w:rPr>
          <w:rFonts w:ascii="Arial" w:cs="Arial" w:eastAsia="Arial" w:hAnsi="Arial"/>
          <w:i/>
          <w:iCs/>
          <w:color w:val="7C3AED"/>
          <w:sz w:val="20"/>
          <w:szCs w:val="20"/>
        </w:rPr>
        <w:t xml:space="preserve">[VISUAL: </w:t>
      </w:r>
      <w:r>
        <w:rPr>
          <w:rFonts w:ascii="Arial" w:cs="Arial" w:eastAsia="Arial" w:hAnsi="Arial"/>
          <w:i/>
          <w:iCs/>
          <w:color w:val="7C3AED"/>
          <w:sz w:val="20"/>
          <w:szCs w:val="20"/>
        </w:rPr>
        <w:t xml:space="preserve">Screen: CoP portal showing training paths, office hours schedule, knowledge base with 42 articles.</w:t>
      </w:r>
      <w:r>
        <w:rPr>
          <w:rFonts w:ascii="Arial" w:cs="Arial" w:eastAsia="Arial" w:hAnsi="Arial"/>
          <w:i/>
          <w:iCs/>
          <w:color w:val="7C3AED"/>
          <w:sz w:val="20"/>
          <w:szCs w:val="20"/>
        </w:rPr>
        <w:t xml:space="preserve">]</w:t>
      </w:r>
    </w:p>
    <w:p>
      <w:pPr>
        <w:spacing w:after="100"/>
        <w:ind w:left="360"/>
      </w:pPr>
      <w:r>
        <w:rPr>
          <w:rFonts w:ascii="Arial" w:cs="Arial" w:eastAsia="Arial" w:hAnsi="Arial"/>
          <w:sz w:val="22"/>
          <w:szCs w:val="22"/>
        </w:rPr>
        <w:t xml:space="preserve">Phase three — we scale. The CoP generates a natural demand signal. We see which teams are self-sufficient and which need hands-on execution. Optional service modules activate only where the evidence shows they're needed. The agency pays for outcomes, not hours.</w:t>
      </w:r>
    </w:p>
    <w:p>
      <w:pPr>
        <w:spacing w:after="80"/>
        <w:ind w:left="360"/>
      </w:pPr>
      <w:r>
        <w:rPr>
          <w:rFonts w:ascii="Arial" w:cs="Arial" w:eastAsia="Arial" w:hAnsi="Arial"/>
          <w:i/>
          <w:iCs/>
          <w:color w:val="7C3AED"/>
          <w:sz w:val="20"/>
          <w:szCs w:val="20"/>
        </w:rPr>
        <w:t xml:space="preserve">[VISUAL: </w:t>
      </w:r>
      <w:r>
        <w:rPr>
          <w:rFonts w:ascii="Arial" w:cs="Arial" w:eastAsia="Arial" w:hAnsi="Arial"/>
          <w:i/>
          <w:iCs/>
          <w:color w:val="7C3AED"/>
          <w:sz w:val="20"/>
          <w:szCs w:val="20"/>
        </w:rPr>
        <w:t xml:space="preserve">Screen: Staffing Gantt chart showing labor categories across 18 months, with milestone diamonds.</w:t>
      </w:r>
      <w:r>
        <w:rPr>
          <w:rFonts w:ascii="Arial" w:cs="Arial" w:eastAsia="Arial" w:hAnsi="Arial"/>
          <w:i/>
          <w:iCs/>
          <w:color w:val="7C3AED"/>
          <w:sz w:val="20"/>
          <w:szCs w:val="20"/>
        </w:rPr>
        <w:t xml:space="preserve">]</w:t>
      </w:r>
    </w:p>
    <w:p>
      <w:pPr>
        <w:shd w:fill="FEF3C7" w:val="clear"/>
        <w:spacing w:before="60" w:after="120"/>
        <w:ind w:left="360"/>
      </w:pPr>
      <w:r>
        <w:rPr>
          <w:rFonts w:ascii="Arial" w:cs="Arial" w:eastAsia="Arial" w:hAnsi="Arial"/>
          <w:b/>
          <w:bCs/>
          <w:color w:val="D97706"/>
          <w:sz w:val="20"/>
          <w:szCs w:val="20"/>
        </w:rPr>
        <w:t xml:space="preserve">TIP: </w:t>
      </w:r>
      <w:r>
        <w:rPr>
          <w:rFonts w:ascii="Arial" w:cs="Arial" w:eastAsia="Arial" w:hAnsi="Arial"/>
          <w:color w:val="92400E"/>
          <w:sz w:val="20"/>
          <w:szCs w:val="20"/>
        </w:rPr>
        <w:t xml:space="preserve">This segment is the densest. Practice it until you can deliver it in exactly 75 seconds without rushing. The three-phase structure is easy to follow if you pause briefly between each phase.</w:t>
      </w:r>
    </w:p>
    <w:p>
      <w:pPr>
        <w:pStyle w:val="Heading2"/>
      </w:pPr>
      <w:r>
        <w:t xml:space="preserve">Segment 4: Why It's Different</w:t>
      </w:r>
    </w:p>
    <w:p>
      <w:pPr>
        <w:spacing w:before="200" w:after="60"/>
      </w:pPr>
      <w:r>
        <w:rPr>
          <w:rFonts w:ascii="JetBrains Mono" w:cs="JetBrains Mono" w:eastAsia="JetBrains Mono" w:hAnsi="JetBrains Mono"/>
          <w:b/>
          <w:bCs/>
          <w:color w:val="2D5A7B"/>
          <w:sz w:val="18"/>
          <w:szCs w:val="18"/>
        </w:rPr>
        <w:t xml:space="preserve">2:45 – 3:30  (45 seconds)</w:t>
      </w:r>
    </w:p>
    <w:p>
      <w:pPr>
        <w:spacing w:after="80"/>
        <w:ind w:left="360"/>
      </w:pPr>
      <w:r>
        <w:rPr>
          <w:rFonts w:ascii="Arial" w:cs="Arial" w:eastAsia="Arial" w:hAnsi="Arial"/>
          <w:i/>
          <w:iCs/>
          <w:color w:val="7C3AED"/>
          <w:sz w:val="20"/>
          <w:szCs w:val="20"/>
        </w:rPr>
        <w:t xml:space="preserve">[VISUAL: </w:t>
      </w:r>
      <w:r>
        <w:rPr>
          <w:rFonts w:ascii="Arial" w:cs="Arial" w:eastAsia="Arial" w:hAnsi="Arial"/>
          <w:i/>
          <w:iCs/>
          <w:color w:val="7C3AED"/>
          <w:sz w:val="20"/>
          <w:szCs w:val="20"/>
        </w:rPr>
        <w:t xml:space="preserve">Screen: Side-by-side comparison card — CoP model vs. Traditional Contractor Migration showing hour savings and capability outcomes.</w:t>
      </w:r>
      <w:r>
        <w:rPr>
          <w:rFonts w:ascii="Arial" w:cs="Arial" w:eastAsia="Arial" w:hAnsi="Arial"/>
          <w:i/>
          <w:iCs/>
          <w:color w:val="7C3AED"/>
          <w:sz w:val="20"/>
          <w:szCs w:val="20"/>
        </w:rPr>
        <w:t xml:space="preserve">]</w:t>
      </w:r>
    </w:p>
    <w:p>
      <w:pPr>
        <w:spacing w:after="100"/>
        <w:ind w:left="360"/>
      </w:pPr>
      <w:r>
        <w:rPr>
          <w:rFonts w:ascii="Arial" w:cs="Arial" w:eastAsia="Arial" w:hAnsi="Arial"/>
          <w:sz w:val="22"/>
          <w:szCs w:val="22"/>
        </w:rPr>
        <w:t xml:space="preserve">Three things make MigrateIQ different from every other migration approach.</w:t>
      </w:r>
    </w:p>
    <w:p>
      <w:pPr>
        <w:spacing w:after="100"/>
        <w:ind w:left="360"/>
      </w:pPr>
      <w:r>
        <w:rPr>
          <w:rFonts w:ascii="Arial" w:cs="Arial" w:eastAsia="Arial" w:hAnsi="Arial"/>
          <w:sz w:val="22"/>
          <w:szCs w:val="22"/>
        </w:rPr>
        <w:t xml:space="preserve">First — tri-platform fluency. Our team has deep, production-level expertise across Tableau, Qlik, and Power BI Fabric. We advise the platform selection without vendor bias and execute on whichever platform wins, with zero ramp-up.</w:t>
      </w:r>
    </w:p>
    <w:p>
      <w:pPr>
        <w:spacing w:after="100"/>
        <w:ind w:left="360"/>
      </w:pPr>
      <w:r>
        <w:rPr>
          <w:rFonts w:ascii="Arial" w:cs="Arial" w:eastAsia="Arial" w:hAnsi="Arial"/>
          <w:sz w:val="22"/>
          <w:szCs w:val="22"/>
        </w:rPr>
        <w:t xml:space="preserve">Second — the self-service multiplier. In a traditional migration, every dashboard requires contractor effort. With MigrateIQ, the CoP trains agency staff to handle the simple and medium tier themselves. In a three-thousand-dashboard portfolio, that typically shifts 50 to 60 percent of migrations to self-service. The contractor hours go to complex rearchitecture — the work that actually requires senior expertise.</w:t>
      </w:r>
    </w:p>
    <w:p>
      <w:pPr>
        <w:spacing w:after="100"/>
        <w:ind w:left="360"/>
      </w:pPr>
      <w:r>
        <w:rPr>
          <w:rFonts w:ascii="Arial" w:cs="Arial" w:eastAsia="Arial" w:hAnsi="Arial"/>
          <w:sz w:val="22"/>
          <w:szCs w:val="22"/>
        </w:rPr>
        <w:t xml:space="preserve">Third — zero lock-in. The platform, the training materials, the governance frameworks, the knowledge base — everything transfers to the agency. MigrateIQ is designed to make itself unnecessary. We succeed when you don't need us anymore.</w:t>
      </w:r>
    </w:p>
    <w:p>
      <w:pPr>
        <w:shd w:fill="FEF3C7" w:val="clear"/>
        <w:spacing w:before="60" w:after="120"/>
        <w:ind w:left="360"/>
      </w:pPr>
      <w:r>
        <w:rPr>
          <w:rFonts w:ascii="Arial" w:cs="Arial" w:eastAsia="Arial" w:hAnsi="Arial"/>
          <w:b/>
          <w:bCs/>
          <w:color w:val="D97706"/>
          <w:sz w:val="20"/>
          <w:szCs w:val="20"/>
        </w:rPr>
        <w:t xml:space="preserve">TIP: </w:t>
      </w:r>
      <w:r>
        <w:rPr>
          <w:rFonts w:ascii="Arial" w:cs="Arial" w:eastAsia="Arial" w:hAnsi="Arial"/>
          <w:color w:val="92400E"/>
          <w:sz w:val="20"/>
          <w:szCs w:val="20"/>
        </w:rPr>
        <w:t xml:space="preserve">The 'zero lock-in' line is the emotional peak. Slow down slightly and deliver it directly to camera. It's the line assessors will remember.</w:t>
      </w:r>
    </w:p>
    <w:p>
      <w:pPr>
        <w:pStyle w:val="Heading2"/>
      </w:pPr>
      <w:r>
        <w:t xml:space="preserve">Segment 5: Scalability and Mission Impact</w:t>
      </w:r>
    </w:p>
    <w:p>
      <w:pPr>
        <w:spacing w:before="200" w:after="60"/>
      </w:pPr>
      <w:r>
        <w:rPr>
          <w:rFonts w:ascii="JetBrains Mono" w:cs="JetBrains Mono" w:eastAsia="JetBrains Mono" w:hAnsi="JetBrains Mono"/>
          <w:b/>
          <w:bCs/>
          <w:color w:val="2D5A7B"/>
          <w:sz w:val="18"/>
          <w:szCs w:val="18"/>
        </w:rPr>
        <w:t xml:space="preserve">3:30 – 4:15  (45 seconds)</w:t>
      </w:r>
    </w:p>
    <w:p>
      <w:pPr>
        <w:spacing w:after="80"/>
        <w:ind w:left="360"/>
      </w:pPr>
      <w:r>
        <w:rPr>
          <w:rFonts w:ascii="Arial" w:cs="Arial" w:eastAsia="Arial" w:hAnsi="Arial"/>
          <w:i/>
          <w:iCs/>
          <w:color w:val="7C3AED"/>
          <w:sz w:val="20"/>
          <w:szCs w:val="20"/>
        </w:rPr>
        <w:t xml:space="preserve">[VISUAL: </w:t>
      </w:r>
      <w:r>
        <w:rPr>
          <w:rFonts w:ascii="Arial" w:cs="Arial" w:eastAsia="Arial" w:hAnsi="Arial"/>
          <w:i/>
          <w:iCs/>
          <w:color w:val="7C3AED"/>
          <w:sz w:val="20"/>
          <w:szCs w:val="20"/>
        </w:rPr>
        <w:t xml:space="preserve">Screen: Portfolio Scenario Planner with portfolio total changed to 500, then 5,000, then 15,000 — showing the tool scales seamlessly.</w:t>
      </w:r>
      <w:r>
        <w:rPr>
          <w:rFonts w:ascii="Arial" w:cs="Arial" w:eastAsia="Arial" w:hAnsi="Arial"/>
          <w:i/>
          <w:iCs/>
          <w:color w:val="7C3AED"/>
          <w:sz w:val="20"/>
          <w:szCs w:val="20"/>
        </w:rPr>
        <w:t xml:space="preserve">]</w:t>
      </w:r>
    </w:p>
    <w:p>
      <w:pPr>
        <w:spacing w:after="100"/>
        <w:ind w:left="360"/>
      </w:pPr>
      <w:r>
        <w:rPr>
          <w:rFonts w:ascii="Arial" w:cs="Arial" w:eastAsia="Arial" w:hAnsi="Arial"/>
          <w:sz w:val="22"/>
          <w:szCs w:val="22"/>
        </w:rPr>
        <w:t xml:space="preserve">MigrateIQ isn't built for one agency. It's built for the enterprise disinvestment pattern.</w:t>
      </w:r>
    </w:p>
    <w:p>
      <w:pPr>
        <w:spacing w:after="100"/>
        <w:ind w:left="360"/>
      </w:pPr>
      <w:r>
        <w:rPr>
          <w:rFonts w:ascii="Arial" w:cs="Arial" w:eastAsia="Arial" w:hAnsi="Arial"/>
          <w:sz w:val="22"/>
          <w:szCs w:val="22"/>
        </w:rPr>
        <w:t xml:space="preserve">CDAO is driving the DoD toward modern, governed data stacks. Every agency that's running legacy analytics — MicroStrategy, Cognos, BusinessObjects, OBIEE — faces the same migration challenge. MigrateIQ deploys on NIPR environments, runs on standard Power Platform and SharePoint infrastructure that's already authorized, and scales from 300 dashboards to 30,000.</w:t>
      </w:r>
    </w:p>
    <w:p>
      <w:pPr>
        <w:spacing w:after="100"/>
        <w:ind w:left="360"/>
      </w:pPr>
      <w:r>
        <w:rPr>
          <w:rFonts w:ascii="Arial" w:cs="Arial" w:eastAsia="Arial" w:hAnsi="Arial"/>
          <w:sz w:val="22"/>
          <w:szCs w:val="22"/>
        </w:rPr>
        <w:t xml:space="preserve">The portfolio scenario planner alone has changed how program managers think about migration. Instead of a contractor handing them a fixed estimate and a two-year timeline, they model it themselves. They see where self-service works, where they need help, and what it costs. That's decision advantage applied to IT modernization.</w:t>
      </w:r>
    </w:p>
    <w:p>
      <w:pPr>
        <w:shd w:fill="FEF3C7" w:val="clear"/>
        <w:spacing w:before="60" w:after="120"/>
        <w:ind w:left="360"/>
      </w:pPr>
      <w:r>
        <w:rPr>
          <w:rFonts w:ascii="Arial" w:cs="Arial" w:eastAsia="Arial" w:hAnsi="Arial"/>
          <w:b/>
          <w:bCs/>
          <w:color w:val="D97706"/>
          <w:sz w:val="20"/>
          <w:szCs w:val="20"/>
        </w:rPr>
        <w:t xml:space="preserve">TIP: </w:t>
      </w:r>
      <w:r>
        <w:rPr>
          <w:rFonts w:ascii="Arial" w:cs="Arial" w:eastAsia="Arial" w:hAnsi="Arial"/>
          <w:color w:val="92400E"/>
          <w:sz w:val="20"/>
          <w:szCs w:val="20"/>
        </w:rPr>
        <w:t xml:space="preserve">'Decision advantage' is CDAO language. Use it intentionally — it signals mission alignment to assessors.</w:t>
      </w:r>
    </w:p>
    <w:p>
      <w:pPr>
        <w:pStyle w:val="Heading2"/>
      </w:pPr>
      <w:r>
        <w:t xml:space="preserve">Segment 6: Close + CTA</w:t>
      </w:r>
    </w:p>
    <w:p>
      <w:pPr>
        <w:spacing w:before="200" w:after="60"/>
      </w:pPr>
      <w:r>
        <w:rPr>
          <w:rFonts w:ascii="JetBrains Mono" w:cs="JetBrains Mono" w:eastAsia="JetBrains Mono" w:hAnsi="JetBrains Mono"/>
          <w:b/>
          <w:bCs/>
          <w:color w:val="2D5A7B"/>
          <w:sz w:val="18"/>
          <w:szCs w:val="18"/>
        </w:rPr>
        <w:t xml:space="preserve">4:15 – 4:45  (30 seconds)</w:t>
      </w:r>
    </w:p>
    <w:p>
      <w:pPr>
        <w:spacing w:after="80"/>
        <w:ind w:left="360"/>
      </w:pPr>
      <w:r>
        <w:rPr>
          <w:rFonts w:ascii="Arial" w:cs="Arial" w:eastAsia="Arial" w:hAnsi="Arial"/>
          <w:i/>
          <w:iCs/>
          <w:color w:val="7C3AED"/>
          <w:sz w:val="20"/>
          <w:szCs w:val="20"/>
        </w:rPr>
        <w:t xml:space="preserve">[VISUAL: </w:t>
      </w:r>
      <w:r>
        <w:rPr>
          <w:rFonts w:ascii="Arial" w:cs="Arial" w:eastAsia="Arial" w:hAnsi="Arial"/>
          <w:i/>
          <w:iCs/>
          <w:color w:val="7C3AED"/>
          <w:sz w:val="20"/>
          <w:szCs w:val="20"/>
        </w:rPr>
        <w:t xml:space="preserve">Screen: Return to CoP portal dashboard. Overlay title card: MigrateIQ — Enablement First. Execution When You Need It.</w:t>
      </w:r>
      <w:r>
        <w:rPr>
          <w:rFonts w:ascii="Arial" w:cs="Arial" w:eastAsia="Arial" w:hAnsi="Arial"/>
          <w:i/>
          <w:iCs/>
          <w:color w:val="7C3AED"/>
          <w:sz w:val="20"/>
          <w:szCs w:val="20"/>
        </w:rPr>
        <w:t xml:space="preserve">]</w:t>
      </w:r>
    </w:p>
    <w:p>
      <w:pPr>
        <w:spacing w:after="100"/>
        <w:ind w:left="360"/>
      </w:pPr>
      <w:r>
        <w:rPr>
          <w:rFonts w:ascii="Arial" w:cs="Arial" w:eastAsia="Arial" w:hAnsi="Arial"/>
          <w:sz w:val="22"/>
          <w:szCs w:val="22"/>
        </w:rPr>
        <w:t xml:space="preserve">MigrateIQ turns platform migration from a contractor dependency into an agency capability. It's milestone-gated, so the government pays for outcomes — not hours. It's built on authorized infrastructure. And it's reusable across every agency facing legacy analytics disinvestment.</w:t>
      </w:r>
    </w:p>
    <w:p>
      <w:pPr>
        <w:spacing w:after="100"/>
        <w:ind w:left="360"/>
      </w:pPr>
      <w:r>
        <w:rPr>
          <w:rFonts w:ascii="Arial" w:cs="Arial" w:eastAsia="Arial" w:hAnsi="Arial"/>
          <w:sz w:val="22"/>
          <w:szCs w:val="22"/>
        </w:rPr>
        <w:t xml:space="preserve">We're ready to deploy. If your agency is facing this challenge, we'd welcome the conversation.</w:t>
      </w:r>
    </w:p>
    <w:p>
      <w:pPr>
        <w:spacing w:after="80"/>
        <w:ind w:left="360"/>
      </w:pPr>
      <w:r>
        <w:rPr>
          <w:rFonts w:ascii="Arial" w:cs="Arial" w:eastAsia="Arial" w:hAnsi="Arial"/>
          <w:i/>
          <w:iCs/>
          <w:color w:val="7C3AED"/>
          <w:sz w:val="20"/>
          <w:szCs w:val="20"/>
        </w:rPr>
        <w:t xml:space="preserve">[VISUAL: </w:t>
      </w:r>
      <w:r>
        <w:rPr>
          <w:rFonts w:ascii="Arial" w:cs="Arial" w:eastAsia="Arial" w:hAnsi="Arial"/>
          <w:i/>
          <w:iCs/>
          <w:color w:val="7C3AED"/>
          <w:sz w:val="20"/>
          <w:szCs w:val="20"/>
        </w:rPr>
        <w:t xml:space="preserve">Fade to company info slide with self-certification. Hold for 5 seconds.</w:t>
      </w:r>
      <w:r>
        <w:rPr>
          <w:rFonts w:ascii="Arial" w:cs="Arial" w:eastAsia="Arial" w:hAnsi="Arial"/>
          <w:i/>
          <w:iCs/>
          <w:color w:val="7C3AED"/>
          <w:sz w:val="20"/>
          <w:szCs w:val="20"/>
        </w:rPr>
        <w:t xml:space="preserve">]</w:t>
      </w:r>
    </w:p>
    <w:p>
      <w:pPr>
        <w:pStyle w:val="Heading2"/>
      </w:pPr>
      <w:r>
        <w:t xml:space="preserve">Segment 7: Self-Certification Slide</w:t>
      </w:r>
    </w:p>
    <w:p>
      <w:pPr>
        <w:spacing w:before="200" w:after="60"/>
      </w:pPr>
      <w:r>
        <w:rPr>
          <w:rFonts w:ascii="JetBrains Mono" w:cs="JetBrains Mono" w:eastAsia="JetBrains Mono" w:hAnsi="JetBrains Mono"/>
          <w:b/>
          <w:bCs/>
          <w:color w:val="2D5A7B"/>
          <w:sz w:val="18"/>
          <w:szCs w:val="18"/>
        </w:rPr>
        <w:t xml:space="preserve">4:45 – 4:55  (10 seconds)</w:t>
      </w:r>
    </w:p>
    <w:p>
      <w:pPr>
        <w:spacing w:after="80"/>
        <w:ind w:left="360"/>
      </w:pPr>
      <w:r>
        <w:rPr>
          <w:rFonts w:ascii="Arial" w:cs="Arial" w:eastAsia="Arial" w:hAnsi="Arial"/>
          <w:i/>
          <w:iCs/>
          <w:color w:val="7C3AED"/>
          <w:sz w:val="20"/>
          <w:szCs w:val="20"/>
        </w:rPr>
        <w:t xml:space="preserve">[VISUAL: </w:t>
      </w:r>
      <w:r>
        <w:rPr>
          <w:rFonts w:ascii="Arial" w:cs="Arial" w:eastAsia="Arial" w:hAnsi="Arial"/>
          <w:i/>
          <w:iCs/>
          <w:color w:val="7C3AED"/>
          <w:sz w:val="20"/>
          <w:szCs w:val="20"/>
        </w:rPr>
        <w:t xml:space="preserve">Static slide: Company name, Principal Investigator name and email, CAGE code, UEI, self-certification statement of company status and location of principal place of business. Ensure this matches the submission form exactly.</w:t>
      </w:r>
      <w:r>
        <w:rPr>
          <w:rFonts w:ascii="Arial" w:cs="Arial" w:eastAsia="Arial" w:hAnsi="Arial"/>
          <w:i/>
          <w:iCs/>
          <w:color w:val="7C3AED"/>
          <w:sz w:val="20"/>
          <w:szCs w:val="20"/>
        </w:rPr>
        <w:t xml:space="preserve">]</w:t>
      </w:r>
    </w:p>
    <w:p>
      <w:pPr>
        <w:shd w:fill="FEF3C7" w:val="clear"/>
        <w:spacing w:before="60" w:after="120"/>
        <w:ind w:left="360"/>
      </w:pPr>
      <w:r>
        <w:rPr>
          <w:rFonts w:ascii="Arial" w:cs="Arial" w:eastAsia="Arial" w:hAnsi="Arial"/>
          <w:b/>
          <w:bCs/>
          <w:color w:val="D97706"/>
          <w:sz w:val="20"/>
          <w:szCs w:val="20"/>
        </w:rPr>
        <w:t xml:space="preserve">TIP: </w:t>
      </w:r>
      <w:r>
        <w:rPr>
          <w:rFonts w:ascii="Arial" w:cs="Arial" w:eastAsia="Arial" w:hAnsi="Arial"/>
          <w:color w:val="92400E"/>
          <w:sz w:val="20"/>
          <w:szCs w:val="20"/>
        </w:rPr>
        <w:t xml:space="preserve">This is a compliance requirement. The slide must display for at least 5 seconds. Include it even if it feels anticlimactic — submissions have been rejected for missing it.</w:t>
      </w:r>
    </w:p>
    <w:p>
      <w:r>
        <w:br w:type="page"/>
      </w:r>
    </w:p>
    <w:p>
      <w:pPr>
        <w:pStyle w:val="Heading1"/>
      </w:pPr>
      <w:r>
        <w:t xml:space="preserve">Rubric Alignment Matrix</w:t>
      </w:r>
    </w:p>
    <w:p>
      <w:pPr>
        <w:spacing w:after="120"/>
      </w:pPr>
      <w:r>
        <w:rPr>
          <w:rFonts w:ascii="Arial" w:cs="Arial" w:eastAsia="Arial" w:hAnsi="Arial"/>
          <w:sz w:val="22"/>
          <w:szCs w:val="22"/>
        </w:rPr>
        <w:t xml:space="preserve">Map of how each segment addresses TSM 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D1CDC4" w:sz="1"/>
              <w:left w:val="single" w:color="D1CDC4" w:sz="1"/>
              <w:bottom w:val="single" w:color="D1CDC4" w:sz="1"/>
              <w:right w:val="single" w:color="D1CDC4"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2500"/>
            <w:tcBorders>
              <w:top w:val="single" w:color="D1CDC4" w:sz="1"/>
              <w:left w:val="single" w:color="D1CDC4" w:sz="1"/>
              <w:bottom w:val="single" w:color="D1CDC4" w:sz="1"/>
              <w:right w:val="single" w:color="D1CDC4"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4860"/>
            <w:tcBorders>
              <w:top w:val="single" w:color="D1CDC4" w:sz="1"/>
              <w:left w:val="single" w:color="D1CDC4" w:sz="1"/>
              <w:bottom w:val="single" w:color="D1CDC4" w:sz="1"/>
              <w:right w:val="single" w:color="D1CDC4"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 We Address It</w:t>
            </w:r>
          </w:p>
        </w:tc>
      </w:tr>
      <w:tr>
        <w:tc>
          <w:tcPr>
            <w:tcW w:type="dxa" w:w="200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b/>
                <w:bCs/>
                <w:sz w:val="20"/>
                <w:szCs w:val="20"/>
              </w:rPr>
              <w:t xml:space="preserve">Clarity of Communication</w:t>
            </w:r>
          </w:p>
        </w:tc>
        <w:tc>
          <w:tcPr>
            <w:tcW w:type="dxa" w:w="250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color w:val="2D5A7B"/>
                <w:sz w:val="20"/>
                <w:szCs w:val="20"/>
              </w:rPr>
              <w:t xml:space="preserve">All (esp. 1, 6)</w:t>
            </w:r>
          </w:p>
        </w:tc>
        <w:tc>
          <w:tcPr>
            <w:tcW w:type="dxa" w:w="486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sz w:val="20"/>
                <w:szCs w:val="20"/>
              </w:rPr>
              <w:t xml:space="preserve">Plain language, no jargon. Three-phase structure is immediately graspable. Live demo shows, doesn't tell.</w:t>
            </w:r>
          </w:p>
        </w:tc>
      </w:tr>
      <w:tr>
        <w:tc>
          <w:tcPr>
            <w:tcW w:type="dxa" w:w="200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b/>
                <w:bCs/>
                <w:sz w:val="20"/>
                <w:szCs w:val="20"/>
              </w:rPr>
              <w:t xml:space="preserve">Technical Merit</w:t>
            </w:r>
          </w:p>
        </w:tc>
        <w:tc>
          <w:tcPr>
            <w:tcW w:type="dxa" w:w="250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color w:val="2D5A7B"/>
                <w:sz w:val="20"/>
                <w:szCs w:val="20"/>
              </w:rPr>
              <w:t xml:space="preserve">Segments 2, 3</w:t>
            </w:r>
          </w:p>
        </w:tc>
        <w:tc>
          <w:tcPr>
            <w:tcW w:type="dxa" w:w="486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sz w:val="20"/>
                <w:szCs w:val="20"/>
              </w:rPr>
              <w:t xml:space="preserve">Live demo of portfolio engine, scenario planner, migration tracker. Assessors see working software, not slides.</w:t>
            </w:r>
          </w:p>
        </w:tc>
      </w:tr>
      <w:tr>
        <w:tc>
          <w:tcPr>
            <w:tcW w:type="dxa" w:w="200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b/>
                <w:bCs/>
                <w:sz w:val="20"/>
                <w:szCs w:val="20"/>
              </w:rPr>
              <w:t xml:space="preserve">Mission Relevance</w:t>
            </w:r>
          </w:p>
        </w:tc>
        <w:tc>
          <w:tcPr>
            <w:tcW w:type="dxa" w:w="250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color w:val="2D5A7B"/>
                <w:sz w:val="20"/>
                <w:szCs w:val="20"/>
              </w:rPr>
              <w:t xml:space="preserve">Segments 1, 5</w:t>
            </w:r>
          </w:p>
        </w:tc>
        <w:tc>
          <w:tcPr>
            <w:tcW w:type="dxa" w:w="486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sz w:val="20"/>
                <w:szCs w:val="20"/>
              </w:rPr>
              <w:t xml:space="preserve">Opens with DoD-specific pain. Closes with CDAO alignment ('decision advantage'). Names specific legacy platforms across DoD.</w:t>
            </w:r>
          </w:p>
        </w:tc>
      </w:tr>
      <w:tr>
        <w:tc>
          <w:tcPr>
            <w:tcW w:type="dxa" w:w="200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b/>
                <w:bCs/>
                <w:sz w:val="20"/>
                <w:szCs w:val="20"/>
              </w:rPr>
              <w:t xml:space="preserve">Innovation</w:t>
            </w:r>
          </w:p>
        </w:tc>
        <w:tc>
          <w:tcPr>
            <w:tcW w:type="dxa" w:w="250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color w:val="2D5A7B"/>
                <w:sz w:val="20"/>
                <w:szCs w:val="20"/>
              </w:rPr>
              <w:t xml:space="preserve">Segments 2, 4</w:t>
            </w:r>
          </w:p>
        </w:tc>
        <w:tc>
          <w:tcPr>
            <w:tcW w:type="dxa" w:w="486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sz w:val="20"/>
                <w:szCs w:val="20"/>
              </w:rPr>
              <w:t xml:space="preserve">CoP model is genuinely novel in this space. Self-service multiplier challenges the 'hire contractors to rewrite everything' orthodoxy.</w:t>
            </w:r>
          </w:p>
        </w:tc>
      </w:tr>
      <w:tr>
        <w:tc>
          <w:tcPr>
            <w:tcW w:type="dxa" w:w="200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b/>
                <w:bCs/>
                <w:sz w:val="20"/>
                <w:szCs w:val="20"/>
              </w:rPr>
              <w:t xml:space="preserve">Scalability</w:t>
            </w:r>
          </w:p>
        </w:tc>
        <w:tc>
          <w:tcPr>
            <w:tcW w:type="dxa" w:w="250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color w:val="2D5A7B"/>
                <w:sz w:val="20"/>
                <w:szCs w:val="20"/>
              </w:rPr>
              <w:t xml:space="preserve">Segment 5</w:t>
            </w:r>
          </w:p>
        </w:tc>
        <w:tc>
          <w:tcPr>
            <w:tcW w:type="dxa" w:w="486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sz w:val="20"/>
                <w:szCs w:val="20"/>
              </w:rPr>
              <w:t xml:space="preserve">Explicitly addresses 300 to 30,000 range. Built on standard Power Platform/SharePoint. Platform-agnostic across Tableau, Qlik, Power BI.</w:t>
            </w:r>
          </w:p>
        </w:tc>
      </w:tr>
    </w:tbl>
    <w:p>
      <w:r>
        <w:br w:type="page"/>
      </w:r>
    </w:p>
    <w:p>
      <w:pPr>
        <w:pStyle w:val="Heading1"/>
      </w:pPr>
      <w:r>
        <w:t xml:space="preserve">Visual Shot List</w:t>
      </w:r>
    </w:p>
    <w:p>
      <w:pPr>
        <w:spacing w:after="120"/>
      </w:pPr>
      <w:r>
        <w:rPr>
          <w:rFonts w:ascii="Arial" w:cs="Arial" w:eastAsia="Arial" w:hAnsi="Arial"/>
          <w:sz w:val="22"/>
          <w:szCs w:val="22"/>
        </w:rPr>
        <w:t xml:space="preserve">Sequence of screens/assets needed for video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280"/>
        <w:gridCol w:w="3280"/>
      </w:tblGrid>
      <w:tr>
        <w:tc>
          <w:tcPr>
            <w:tcW w:type="dxa" w:w="1200"/>
            <w:tcBorders>
              <w:top w:val="single" w:color="D1CDC4" w:sz="1"/>
              <w:left w:val="single" w:color="D1CDC4" w:sz="1"/>
              <w:bottom w:val="single" w:color="D1CDC4" w:sz="1"/>
              <w:right w:val="single" w:color="D1CDC4"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Timestamp</w:t>
            </w:r>
          </w:p>
        </w:tc>
        <w:tc>
          <w:tcPr>
            <w:tcW w:type="dxa" w:w="1600"/>
            <w:tcBorders>
              <w:top w:val="single" w:color="D1CDC4" w:sz="1"/>
              <w:left w:val="single" w:color="D1CDC4" w:sz="1"/>
              <w:bottom w:val="single" w:color="D1CDC4" w:sz="1"/>
              <w:right w:val="single" w:color="D1CDC4"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Shot Type</w:t>
            </w:r>
          </w:p>
        </w:tc>
        <w:tc>
          <w:tcPr>
            <w:tcW w:type="dxa" w:w="3280"/>
            <w:tcBorders>
              <w:top w:val="single" w:color="D1CDC4" w:sz="1"/>
              <w:left w:val="single" w:color="D1CDC4" w:sz="1"/>
              <w:bottom w:val="single" w:color="D1CDC4" w:sz="1"/>
              <w:right w:val="single" w:color="D1CDC4"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Screen Content</w:t>
            </w:r>
          </w:p>
        </w:tc>
        <w:tc>
          <w:tcPr>
            <w:tcW w:type="dxa" w:w="3280"/>
            <w:tcBorders>
              <w:top w:val="single" w:color="D1CDC4" w:sz="1"/>
              <w:left w:val="single" w:color="D1CDC4" w:sz="1"/>
              <w:bottom w:val="single" w:color="D1CDC4" w:sz="1"/>
              <w:right w:val="single" w:color="D1CDC4"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Asset Source</w:t>
            </w:r>
          </w:p>
        </w:tc>
      </w:tr>
      <w:tr>
        <w:tc>
          <w:tcPr>
            <w:tcW w:type="dxa" w:w="120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JetBrains Mono" w:cs="JetBrains Mono" w:eastAsia="JetBrains Mono" w:hAnsi="JetBrains Mono"/>
                <w:color w:val="2D5A7B"/>
                <w:sz w:val="18"/>
                <w:szCs w:val="18"/>
              </w:rPr>
              <w:t xml:space="preserve">0:00</w:t>
            </w:r>
          </w:p>
        </w:tc>
        <w:tc>
          <w:tcPr>
            <w:tcW w:type="dxa" w:w="160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sz w:val="18"/>
                <w:szCs w:val="18"/>
              </w:rPr>
              <w:t xml:space="preserve">Title card</w:t>
            </w:r>
          </w:p>
        </w:tc>
        <w:tc>
          <w:tcPr>
            <w:tcW w:type="dxa" w:w="328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sz w:val="18"/>
                <w:szCs w:val="18"/>
              </w:rPr>
              <w:t xml:space="preserve">MigrateIQ logo, tagline, focus area</w:t>
            </w:r>
          </w:p>
        </w:tc>
        <w:tc>
          <w:tcPr>
            <w:tcW w:type="dxa" w:w="328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color w:val="6B7280"/>
                <w:sz w:val="18"/>
                <w:szCs w:val="18"/>
              </w:rPr>
              <w:t xml:space="preserve">Design: create branded title card</w:t>
            </w:r>
          </w:p>
        </w:tc>
      </w:tr>
      <w:tr>
        <w:tc>
          <w:tcPr>
            <w:tcW w:type="dxa" w:w="120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JetBrains Mono" w:cs="JetBrains Mono" w:eastAsia="JetBrains Mono" w:hAnsi="JetBrains Mono"/>
                <w:color w:val="2D5A7B"/>
                <w:sz w:val="18"/>
                <w:szCs w:val="18"/>
              </w:rPr>
              <w:t xml:space="preserve">0:05</w:t>
            </w:r>
          </w:p>
        </w:tc>
        <w:tc>
          <w:tcPr>
            <w:tcW w:type="dxa" w:w="160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sz w:val="18"/>
                <w:szCs w:val="18"/>
              </w:rPr>
              <w:t xml:space="preserve">Speaker PiP</w:t>
            </w:r>
          </w:p>
        </w:tc>
        <w:tc>
          <w:tcPr>
            <w:tcW w:type="dxa" w:w="328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sz w:val="18"/>
                <w:szCs w:val="18"/>
              </w:rPr>
              <w:t xml:space="preserve">Presenter on camera (top-right)</w:t>
            </w:r>
          </w:p>
        </w:tc>
        <w:tc>
          <w:tcPr>
            <w:tcW w:type="dxa" w:w="328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color w:val="6B7280"/>
                <w:sz w:val="18"/>
                <w:szCs w:val="18"/>
              </w:rPr>
              <w:t xml:space="preserve">Record: head-and-shoulders, neutral background</w:t>
            </w:r>
          </w:p>
        </w:tc>
      </w:tr>
      <w:tr>
        <w:tc>
          <w:tcPr>
            <w:tcW w:type="dxa" w:w="120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JetBrains Mono" w:cs="JetBrains Mono" w:eastAsia="JetBrains Mono" w:hAnsi="JetBrains Mono"/>
                <w:color w:val="2D5A7B"/>
                <w:sz w:val="18"/>
                <w:szCs w:val="18"/>
              </w:rPr>
              <w:t xml:space="preserve">0:30</w:t>
            </w:r>
          </w:p>
        </w:tc>
        <w:tc>
          <w:tcPr>
            <w:tcW w:type="dxa" w:w="160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sz w:val="18"/>
                <w:szCs w:val="18"/>
              </w:rPr>
              <w:t xml:space="preserve">Screen share</w:t>
            </w:r>
          </w:p>
        </w:tc>
        <w:tc>
          <w:tcPr>
            <w:tcW w:type="dxa" w:w="328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sz w:val="18"/>
                <w:szCs w:val="18"/>
              </w:rPr>
              <w:t xml:space="preserve">CoP portal dashboard (stats, activity, tracker)</w:t>
            </w:r>
          </w:p>
        </w:tc>
        <w:tc>
          <w:tcPr>
            <w:tcW w:type="dxa" w:w="328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color w:val="6B7280"/>
                <w:sz w:val="18"/>
                <w:szCs w:val="18"/>
              </w:rPr>
              <w:t xml:space="preserve">cop-in-a-box-demo.html</w:t>
            </w:r>
          </w:p>
        </w:tc>
      </w:tr>
      <w:tr>
        <w:tc>
          <w:tcPr>
            <w:tcW w:type="dxa" w:w="120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JetBrains Mono" w:cs="JetBrains Mono" w:eastAsia="JetBrains Mono" w:hAnsi="JetBrains Mono"/>
                <w:color w:val="2D5A7B"/>
                <w:sz w:val="18"/>
                <w:szCs w:val="18"/>
              </w:rPr>
              <w:t xml:space="preserve">0:55</w:t>
            </w:r>
          </w:p>
        </w:tc>
        <w:tc>
          <w:tcPr>
            <w:tcW w:type="dxa" w:w="160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sz w:val="18"/>
                <w:szCs w:val="18"/>
              </w:rPr>
              <w:t xml:space="preserve">Screen share</w:t>
            </w:r>
          </w:p>
        </w:tc>
        <w:tc>
          <w:tcPr>
            <w:tcW w:type="dxa" w:w="328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sz w:val="18"/>
                <w:szCs w:val="18"/>
              </w:rPr>
              <w:t xml:space="preserve">Migration tracker: dept progress bars</w:t>
            </w:r>
          </w:p>
        </w:tc>
        <w:tc>
          <w:tcPr>
            <w:tcW w:type="dxa" w:w="328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color w:val="6B7280"/>
                <w:sz w:val="18"/>
                <w:szCs w:val="18"/>
              </w:rPr>
              <w:t xml:space="preserve">cop-in-a-box-demo.html (main section)</w:t>
            </w:r>
          </w:p>
        </w:tc>
      </w:tr>
      <w:tr>
        <w:tc>
          <w:tcPr>
            <w:tcW w:type="dxa" w:w="120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JetBrains Mono" w:cs="JetBrains Mono" w:eastAsia="JetBrains Mono" w:hAnsi="JetBrains Mono"/>
                <w:color w:val="2D5A7B"/>
                <w:sz w:val="18"/>
                <w:szCs w:val="18"/>
              </w:rPr>
              <w:t xml:space="preserve">1:05</w:t>
            </w:r>
          </w:p>
        </w:tc>
        <w:tc>
          <w:tcPr>
            <w:tcW w:type="dxa" w:w="160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sz w:val="18"/>
                <w:szCs w:val="18"/>
              </w:rPr>
              <w:t xml:space="preserve">Screen share</w:t>
            </w:r>
          </w:p>
        </w:tc>
        <w:tc>
          <w:tcPr>
            <w:tcW w:type="dxa" w:w="328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sz w:val="18"/>
                <w:szCs w:val="18"/>
              </w:rPr>
              <w:t xml:space="preserve">Portfolio Scenario Planner: drag sliders</w:t>
            </w:r>
          </w:p>
        </w:tc>
        <w:tc>
          <w:tcPr>
            <w:tcW w:type="dxa" w:w="328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color w:val="6B7280"/>
                <w:sz w:val="18"/>
                <w:szCs w:val="18"/>
              </w:rPr>
              <w:t xml:space="preserve">portfolio-scenario-planner.html</w:t>
            </w:r>
          </w:p>
        </w:tc>
      </w:tr>
      <w:tr>
        <w:tc>
          <w:tcPr>
            <w:tcW w:type="dxa" w:w="120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JetBrains Mono" w:cs="JetBrains Mono" w:eastAsia="JetBrains Mono" w:hAnsi="JetBrains Mono"/>
                <w:color w:val="2D5A7B"/>
                <w:sz w:val="18"/>
                <w:szCs w:val="18"/>
              </w:rPr>
              <w:t xml:space="preserve">1:30</w:t>
            </w:r>
          </w:p>
        </w:tc>
        <w:tc>
          <w:tcPr>
            <w:tcW w:type="dxa" w:w="160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sz w:val="18"/>
                <w:szCs w:val="18"/>
              </w:rPr>
              <w:t xml:space="preserve">Screen share</w:t>
            </w:r>
          </w:p>
        </w:tc>
        <w:tc>
          <w:tcPr>
            <w:tcW w:type="dxa" w:w="328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sz w:val="18"/>
                <w:szCs w:val="18"/>
              </w:rPr>
              <w:t xml:space="preserve">Phased timeline (expand Phase 1)</w:t>
            </w:r>
          </w:p>
        </w:tc>
        <w:tc>
          <w:tcPr>
            <w:tcW w:type="dxa" w:w="328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color w:val="6B7280"/>
                <w:sz w:val="18"/>
                <w:szCs w:val="18"/>
              </w:rPr>
              <w:t xml:space="preserve">cop-pitch-interactive.html (#approach)</w:t>
            </w:r>
          </w:p>
        </w:tc>
      </w:tr>
      <w:tr>
        <w:tc>
          <w:tcPr>
            <w:tcW w:type="dxa" w:w="120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JetBrains Mono" w:cs="JetBrains Mono" w:eastAsia="JetBrains Mono" w:hAnsi="JetBrains Mono"/>
                <w:color w:val="2D5A7B"/>
                <w:sz w:val="18"/>
                <w:szCs w:val="18"/>
              </w:rPr>
              <w:t xml:space="preserve">2:00</w:t>
            </w:r>
          </w:p>
        </w:tc>
        <w:tc>
          <w:tcPr>
            <w:tcW w:type="dxa" w:w="160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sz w:val="18"/>
                <w:szCs w:val="18"/>
              </w:rPr>
              <w:t xml:space="preserve">Screen share</w:t>
            </w:r>
          </w:p>
        </w:tc>
        <w:tc>
          <w:tcPr>
            <w:tcW w:type="dxa" w:w="328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sz w:val="18"/>
                <w:szCs w:val="18"/>
              </w:rPr>
              <w:t xml:space="preserve">CoP portal: training paths, KB, schedule</w:t>
            </w:r>
          </w:p>
        </w:tc>
        <w:tc>
          <w:tcPr>
            <w:tcW w:type="dxa" w:w="328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color w:val="6B7280"/>
                <w:sz w:val="18"/>
                <w:szCs w:val="18"/>
              </w:rPr>
              <w:t xml:space="preserve">cop-in-a-box-demo.html (sidebar)</w:t>
            </w:r>
          </w:p>
        </w:tc>
      </w:tr>
      <w:tr>
        <w:tc>
          <w:tcPr>
            <w:tcW w:type="dxa" w:w="120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JetBrains Mono" w:cs="JetBrains Mono" w:eastAsia="JetBrains Mono" w:hAnsi="JetBrains Mono"/>
                <w:color w:val="2D5A7B"/>
                <w:sz w:val="18"/>
                <w:szCs w:val="18"/>
              </w:rPr>
              <w:t xml:space="preserve">2:25</w:t>
            </w:r>
          </w:p>
        </w:tc>
        <w:tc>
          <w:tcPr>
            <w:tcW w:type="dxa" w:w="160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sz w:val="18"/>
                <w:szCs w:val="18"/>
              </w:rPr>
              <w:t xml:space="preserve">Screen share</w:t>
            </w:r>
          </w:p>
        </w:tc>
        <w:tc>
          <w:tcPr>
            <w:tcW w:type="dxa" w:w="328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sz w:val="18"/>
                <w:szCs w:val="18"/>
              </w:rPr>
              <w:t xml:space="preserve">Staffing Gantt with milestone diamonds</w:t>
            </w:r>
          </w:p>
        </w:tc>
        <w:tc>
          <w:tcPr>
            <w:tcW w:type="dxa" w:w="328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color w:val="6B7280"/>
                <w:sz w:val="18"/>
                <w:szCs w:val="18"/>
              </w:rPr>
              <w:t xml:space="preserve">cop-pitch-interactive.html (#staffing)</w:t>
            </w:r>
          </w:p>
        </w:tc>
      </w:tr>
      <w:tr>
        <w:tc>
          <w:tcPr>
            <w:tcW w:type="dxa" w:w="120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JetBrains Mono" w:cs="JetBrains Mono" w:eastAsia="JetBrains Mono" w:hAnsi="JetBrains Mono"/>
                <w:color w:val="2D5A7B"/>
                <w:sz w:val="18"/>
                <w:szCs w:val="18"/>
              </w:rPr>
              <w:t xml:space="preserve">2:45</w:t>
            </w:r>
          </w:p>
        </w:tc>
        <w:tc>
          <w:tcPr>
            <w:tcW w:type="dxa" w:w="160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sz w:val="18"/>
                <w:szCs w:val="18"/>
              </w:rPr>
              <w:t xml:space="preserve">Screen share</w:t>
            </w:r>
          </w:p>
        </w:tc>
        <w:tc>
          <w:tcPr>
            <w:tcW w:type="dxa" w:w="328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sz w:val="18"/>
                <w:szCs w:val="18"/>
              </w:rPr>
              <w:t xml:space="preserve">Comparison card: CoP vs. Traditional</w:t>
            </w:r>
          </w:p>
        </w:tc>
        <w:tc>
          <w:tcPr>
            <w:tcW w:type="dxa" w:w="328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color w:val="6B7280"/>
                <w:sz w:val="18"/>
                <w:szCs w:val="18"/>
              </w:rPr>
              <w:t xml:space="preserve">portfolio-scenario-planner.html (bottom-right)</w:t>
            </w:r>
          </w:p>
        </w:tc>
      </w:tr>
      <w:tr>
        <w:tc>
          <w:tcPr>
            <w:tcW w:type="dxa" w:w="120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JetBrains Mono" w:cs="JetBrains Mono" w:eastAsia="JetBrains Mono" w:hAnsi="JetBrains Mono"/>
                <w:color w:val="2D5A7B"/>
                <w:sz w:val="18"/>
                <w:szCs w:val="18"/>
              </w:rPr>
              <w:t xml:space="preserve">3:30</w:t>
            </w:r>
          </w:p>
        </w:tc>
        <w:tc>
          <w:tcPr>
            <w:tcW w:type="dxa" w:w="160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sz w:val="18"/>
                <w:szCs w:val="18"/>
              </w:rPr>
              <w:t xml:space="preserve">Screen share</w:t>
            </w:r>
          </w:p>
        </w:tc>
        <w:tc>
          <w:tcPr>
            <w:tcW w:type="dxa" w:w="328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sz w:val="18"/>
                <w:szCs w:val="18"/>
              </w:rPr>
              <w:t xml:space="preserve">Scenario Planner: change portfolio to 500, 5k, 15k</w:t>
            </w:r>
          </w:p>
        </w:tc>
        <w:tc>
          <w:tcPr>
            <w:tcW w:type="dxa" w:w="328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color w:val="6B7280"/>
                <w:sz w:val="18"/>
                <w:szCs w:val="18"/>
              </w:rPr>
              <w:t xml:space="preserve">portfolio-scenario-planner.html</w:t>
            </w:r>
          </w:p>
        </w:tc>
      </w:tr>
      <w:tr>
        <w:tc>
          <w:tcPr>
            <w:tcW w:type="dxa" w:w="120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JetBrains Mono" w:cs="JetBrains Mono" w:eastAsia="JetBrains Mono" w:hAnsi="JetBrains Mono"/>
                <w:color w:val="2D5A7B"/>
                <w:sz w:val="18"/>
                <w:szCs w:val="18"/>
              </w:rPr>
              <w:t xml:space="preserve">4:15</w:t>
            </w:r>
          </w:p>
        </w:tc>
        <w:tc>
          <w:tcPr>
            <w:tcW w:type="dxa" w:w="160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sz w:val="18"/>
                <w:szCs w:val="18"/>
              </w:rPr>
              <w:t xml:space="preserve">Screen share</w:t>
            </w:r>
          </w:p>
        </w:tc>
        <w:tc>
          <w:tcPr>
            <w:tcW w:type="dxa" w:w="328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sz w:val="18"/>
                <w:szCs w:val="18"/>
              </w:rPr>
              <w:t xml:space="preserve">CoP dashboard with overlay title card</w:t>
            </w:r>
          </w:p>
        </w:tc>
        <w:tc>
          <w:tcPr>
            <w:tcW w:type="dxa" w:w="328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color w:val="6B7280"/>
                <w:sz w:val="18"/>
                <w:szCs w:val="18"/>
              </w:rPr>
              <w:t xml:space="preserve">cop-in-a-box-demo.html + overlay</w:t>
            </w:r>
          </w:p>
        </w:tc>
      </w:tr>
      <w:tr>
        <w:tc>
          <w:tcPr>
            <w:tcW w:type="dxa" w:w="120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JetBrains Mono" w:cs="JetBrains Mono" w:eastAsia="JetBrains Mono" w:hAnsi="JetBrains Mono"/>
                <w:color w:val="2D5A7B"/>
                <w:sz w:val="18"/>
                <w:szCs w:val="18"/>
              </w:rPr>
              <w:t xml:space="preserve">4:45</w:t>
            </w:r>
          </w:p>
        </w:tc>
        <w:tc>
          <w:tcPr>
            <w:tcW w:type="dxa" w:w="160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sz w:val="18"/>
                <w:szCs w:val="18"/>
              </w:rPr>
              <w:t xml:space="preserve">Static slide</w:t>
            </w:r>
          </w:p>
        </w:tc>
        <w:tc>
          <w:tcPr>
            <w:tcW w:type="dxa" w:w="328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sz w:val="18"/>
                <w:szCs w:val="18"/>
              </w:rPr>
              <w:t xml:space="preserve">Self-certification: company info, CAGE, UEI</w:t>
            </w:r>
          </w:p>
        </w:tc>
        <w:tc>
          <w:tcPr>
            <w:tcW w:type="dxa" w:w="3280"/>
            <w:tcBorders>
              <w:top w:val="single" w:color="D1CDC4" w:sz="1"/>
              <w:left w:val="single" w:color="D1CDC4" w:sz="1"/>
              <w:bottom w:val="single" w:color="D1CDC4" w:sz="1"/>
              <w:right w:val="single" w:color="D1CDC4" w:sz="1"/>
            </w:tcBorders>
            <w:tcMar>
              <w:top w:type="dxa" w:w="80"/>
              <w:left w:type="dxa" w:w="120"/>
              <w:bottom w:type="dxa" w:w="80"/>
              <w:right w:type="dxa" w:w="120"/>
            </w:tcMar>
          </w:tcPr>
          <w:p>
            <w:r>
              <w:rPr>
                <w:rFonts w:ascii="Arial" w:cs="Arial" w:eastAsia="Arial" w:hAnsi="Arial"/>
                <w:color w:val="6B7280"/>
                <w:sz w:val="18"/>
                <w:szCs w:val="18"/>
              </w:rPr>
              <w:t xml:space="preserve">Design: create compliance slide</w:t>
            </w:r>
          </w:p>
        </w:tc>
      </w:tr>
    </w:tbl>
    <w:p>
      <w:pPr>
        <w:spacing w:before="300"/>
      </w:pPr>
    </w:p>
    <w:p>
      <w:pPr>
        <w:pBdr>
          <w:bottom w:val="single" w:color="D4A843" w:sz="4" w:space="1"/>
        </w:pBdr>
        <w:spacing w:before="100" w:after="100"/>
      </w:pPr>
    </w:p>
    <w:p>
      <w:pPr>
        <w:spacing w:before="200"/>
        <w:jc w:val="center"/>
      </w:pPr>
      <w:r>
        <w:rPr>
          <w:rFonts w:ascii="Arial" w:cs="Arial" w:eastAsia="Arial" w:hAnsi="Arial"/>
          <w:i/>
          <w:iCs/>
          <w:color w:val="6B7280"/>
          <w:sz w:val="20"/>
          <w:szCs w:val="20"/>
        </w:rPr>
        <w:t xml:space="preserve">All interactive demos referenced in this script are production-ready HTML artifacts. Record screen captures directly from these files.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5A7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D4A84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2026-02-22T16:01:40.017Z</dcterms:created>
  <dcterms:modified xsi:type="dcterms:W3CDTF">2026-02-22T16:01:40.019Z</dcterms:modified>
</cp:coreProperties>
</file>

<file path=docProps/custom.xml><?xml version="1.0" encoding="utf-8"?>
<Properties xmlns="http://schemas.openxmlformats.org/officeDocument/2006/custom-properties" xmlns:vt="http://schemas.openxmlformats.org/officeDocument/2006/docPropsVTypes"/>
</file>