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5005C2C" w:rsidP="05005C2C" w:rsidRDefault="05005C2C" w14:paraId="2CE41CC5" w14:textId="4EC01235">
      <w:pPr>
        <w:pStyle w:val="Title"/>
      </w:pPr>
      <w:r>
        <w:t>USB DAC + Balanced Headphone Amplifier — Design Specification v0.1</w:t>
      </w:r>
    </w:p>
    <w:p w:rsidR="05005C2C" w:rsidP="05005C2C" w:rsidRDefault="05005C2C" w14:paraId="7D73AA1E" w14:textId="1F944D18">
      <w:pPr>
        <w:pStyle w:val="Subtitle"/>
      </w:pPr>
      <w:r>
        <w:t>Product requirements and architecture for a personal PCB project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2050"/>
        <w:gridCol w:w="2050"/>
        <w:gridCol w:w="2590"/>
        <w:gridCol w:w="3050"/>
      </w:tblGrid>
      <w:tr w:rsidR="05005C2C" w:rsidTr="094FF0F6" w14:paraId="4EB4C0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50" w:type="dxa"/>
            <w:tcMar/>
          </w:tcPr>
          <w:p w:rsidR="05005C2C" w:rsidP="094FF0F6" w:rsidRDefault="05005C2C" w14:paraId="4041F7FC" w14:textId="46EF3620" w14:noSpellErr="1">
            <w:pPr>
              <w:pStyle w:val="Caption"/>
            </w:pPr>
            <w:r w:rsidRPr="094FF0F6" w:rsidR="05005C2C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Author</w:t>
            </w:r>
          </w:p>
        </w:tc>
        <w:tc>
          <w:tcPr>
            <w:tcW w:w="2050" w:type="dxa"/>
            <w:tcMar/>
          </w:tcPr>
          <w:p w:rsidR="05005C2C" w:rsidP="094FF0F6" w:rsidRDefault="05005C2C" w14:paraId="49A41DE0" w14:textId="3FCD1CE4" w14:noSpellErr="1">
            <w:pPr>
              <w:pStyle w:val="Captio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94FF0F6" w:rsidR="05005C2C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Date</w:t>
            </w:r>
          </w:p>
        </w:tc>
        <w:tc>
          <w:tcPr>
            <w:tcW w:w="2590" w:type="dxa"/>
            <w:tcMar/>
          </w:tcPr>
          <w:p w:rsidR="05005C2C" w:rsidP="094FF0F6" w:rsidRDefault="05005C2C" w14:paraId="1B457740" w14:textId="38AB03A8" w14:noSpellErr="1">
            <w:pPr>
              <w:pStyle w:val="Captio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94FF0F6" w:rsidR="05005C2C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Version</w:t>
            </w:r>
          </w:p>
        </w:tc>
        <w:tc>
          <w:tcPr>
            <w:tcW w:w="3050" w:type="dxa"/>
            <w:tcMar/>
          </w:tcPr>
          <w:p w:rsidR="05005C2C" w:rsidP="094FF0F6" w:rsidRDefault="05005C2C" w14:paraId="120F7B37" w14:textId="3188EA6C" w14:noSpellErr="1">
            <w:pPr>
              <w:pStyle w:val="Captio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94FF0F6" w:rsidR="05005C2C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Document type</w:t>
            </w:r>
          </w:p>
        </w:tc>
      </w:tr>
      <w:tr w:rsidR="05005C2C" w:rsidTr="094FF0F6" w14:paraId="66AE65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50" w:type="dxa"/>
            <w:tcMar/>
          </w:tcPr>
          <w:p w:rsidR="05005C2C" w:rsidP="094FF0F6" w:rsidRDefault="05005C2C" w14:paraId="433A3C75" w14:textId="489E4AE1" w14:noSpellErr="1">
            <w:pPr>
              <w:pStyle w:val="Caption"/>
            </w:pPr>
            <w:r w:rsidRPr="094FF0F6" w:rsidR="05005C2C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Diego Yang</w:t>
            </w:r>
          </w:p>
        </w:tc>
        <w:tc>
          <w:tcPr>
            <w:tcW w:w="2050" w:type="dxa"/>
            <w:tcMar/>
          </w:tcPr>
          <w:p w:rsidR="05005C2C" w:rsidP="094FF0F6" w:rsidRDefault="05005C2C" w14:paraId="443CC43F" w14:textId="417C31A5" w14:noSpellErr="1">
            <w:pPr>
              <w:pStyle w:val="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94FF0F6" w:rsidR="05005C2C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23 Sep 2026</w:t>
            </w:r>
          </w:p>
        </w:tc>
        <w:tc>
          <w:tcPr>
            <w:tcW w:w="2590" w:type="dxa"/>
            <w:tcMar/>
          </w:tcPr>
          <w:p w:rsidR="05005C2C" w:rsidP="094FF0F6" w:rsidRDefault="05005C2C" w14:paraId="7CD5B460" w14:textId="3A5A1869" w14:noSpellErr="1">
            <w:pPr>
              <w:pStyle w:val="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94FF0F6" w:rsidR="05005C2C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v0.1 (draft for review)</w:t>
            </w:r>
          </w:p>
        </w:tc>
        <w:tc>
          <w:tcPr>
            <w:tcW w:w="3050" w:type="dxa"/>
            <w:tcMar/>
          </w:tcPr>
          <w:p w:rsidR="05005C2C" w:rsidP="094FF0F6" w:rsidRDefault="05005C2C" w14:paraId="1968E316" w14:textId="3337FF2D" w14:noSpellErr="1">
            <w:pPr>
              <w:pStyle w:val="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94FF0F6" w:rsidR="05005C2C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Product requirements + architecture</w:t>
            </w:r>
          </w:p>
        </w:tc>
      </w:tr>
    </w:tbl>
    <w:p w:rsidR="05005C2C" w:rsidP="05005C2C" w:rsidRDefault="05005C2C" w14:paraId="307D1E7F" w14:textId="2E167BE2">
      <w:pPr>
        <w:pStyle w:val="Heading1"/>
      </w:pPr>
      <w:r w:rsidR="05005C2C">
        <w:rPr/>
        <w:t>1. Purpose and scope</w:t>
      </w:r>
    </w:p>
    <w:p w:rsidR="75E60A3B" w:rsidRDefault="75E60A3B" w14:paraId="7B658779" w14:textId="7DA1644F" w14:noSpellErr="1">
      <w:r w:rsidRPr="094FF0F6" w:rsidR="75E60A3B">
        <w:rPr>
          <w:sz w:val="20"/>
          <w:szCs w:val="20"/>
        </w:rPr>
        <w:t>This specification defines the requirements and architecture of a USB-C Hi-Res DAC with a single DAC chip and a balanced headphone amplifier able to drive the AKG K1000 and the HIFIMAN Susvara.</w:t>
      </w:r>
    </w:p>
    <w:p w:rsidR="75E60A3B" w:rsidRDefault="75E60A3B" w14:paraId="72CECAFC" w14:textId="3D5886B7" w14:noSpellErr="1">
      <w:r w:rsidRPr="094FF0F6" w:rsidR="75E60A3B">
        <w:rPr>
          <w:sz w:val="20"/>
          <w:szCs w:val="20"/>
        </w:rPr>
        <w:t>Portfolio project: an end-to-end, industrial-style PCB workflow (spec → schematic → layout → JLCPCB fabrication and assembly (PCBA) → bring-up → automated measurement → revision) aimed at the NVIDIA “PCB Design EDA and AI Engineer – New College Graduate 2027” role (Taipei/Hsinchu). The posting emphasises PCB design, Python/EDA scripting, GitLab CI/CD, AI agents and DFF/DFA/DFT, so design automation is a first-class deliverable, not an extra.</w:t>
      </w:r>
    </w:p>
    <w:p w:rsidR="75E60A3B" w:rsidRDefault="75E60A3B" w14:paraId="7F6F102E" w14:textId="5F12EEEE" w14:noSpellErr="1">
      <w:r w:rsidRPr="094FF0F6" w:rsidR="75E60A3B">
        <w:rPr>
          <w:sz w:val="20"/>
          <w:szCs w:val="20"/>
        </w:rPr>
        <w:t>Goal: “best measured performance for the money”, proven by published measurements; not “beats every product”, which a hobby analyzer cannot prove (QuantAsylum itself says its QA403 won’t match a US$30,000 analyzer).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5070"/>
        <w:gridCol w:w="4670"/>
      </w:tblGrid>
      <w:tr w:rsidR="75E60A3B" w:rsidTr="094FF0F6" w14:paraId="4E4E0568">
        <w:trPr>
          <w:trHeight w:val="300"/>
        </w:trPr>
        <w:tc>
          <w:tcPr>
            <w:tcW w:w="5070" w:type="dxa"/>
            <w:tcMar/>
          </w:tcPr>
          <w:p w:rsidR="75E60A3B" w:rsidP="094FF0F6" w:rsidRDefault="75E60A3B" w14:paraId="7DEC42BE" w14:textId="74B430D2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In scope for v1</w:t>
            </w:r>
          </w:p>
        </w:tc>
        <w:tc>
          <w:tcPr>
            <w:tcW w:w="4670" w:type="dxa"/>
            <w:tcMar/>
          </w:tcPr>
          <w:p w:rsidR="75E60A3B" w:rsidP="094FF0F6" w:rsidRDefault="75E60A3B" w14:paraId="1F4B2D20" w14:textId="6D921796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Out of scope for v1</w:t>
            </w:r>
          </w:p>
        </w:tc>
      </w:tr>
      <w:tr w:rsidR="75E60A3B" w:rsidTr="094FF0F6" w14:paraId="135AF353">
        <w:tc>
          <w:tcPr>
            <w:tcW w:w="5070" w:type="dxa"/>
            <w:tcMar/>
          </w:tcPr>
          <w:p w:rsidR="75E60A3B" w:rsidP="094FF0F6" w:rsidRDefault="75E60A3B" w14:paraId="110C3ADB" w14:textId="04A7780B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USB-C Hi-Res DAC with a single AK4493SEQ DAC chip</w:t>
            </w:r>
          </w:p>
        </w:tc>
        <w:tc>
          <w:tcPr>
            <w:tcW w:w="4670" w:type="dxa"/>
            <w:tcMar/>
          </w:tcPr>
          <w:p w:rsidR="75E60A3B" w:rsidP="094FF0F6" w:rsidRDefault="75E60A3B" w14:paraId="4EA43469" w14:textId="7D855ECF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Paralleled DACs (possible v2 experiment)</w:t>
            </w:r>
          </w:p>
        </w:tc>
      </w:tr>
      <w:tr w:rsidR="75E60A3B" w:rsidTr="094FF0F6" w14:paraId="358EF6B4">
        <w:tc>
          <w:tcPr>
            <w:tcW w:w="5070" w:type="dxa"/>
            <w:tcMar/>
          </w:tcPr>
          <w:p w:rsidR="75E60A3B" w:rsidP="094FF0F6" w:rsidRDefault="75E60A3B" w14:paraId="3E3CC16B" w14:textId="149ABF44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Balanced headphone amplifier (4.4 mm) plus a 6.35 mm single-ended output</w:t>
            </w:r>
          </w:p>
        </w:tc>
        <w:tc>
          <w:tcPr>
            <w:tcW w:w="4670" w:type="dxa"/>
            <w:tcMar/>
          </w:tcPr>
          <w:p w:rsidR="75E60A3B" w:rsidP="094FF0F6" w:rsidRDefault="75E60A3B" w14:paraId="2619A0D2" w14:textId="0D78A608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4-pin XLR output</w:t>
            </w:r>
          </w:p>
        </w:tc>
      </w:tr>
      <w:tr w:rsidR="75E60A3B" w:rsidTr="094FF0F6" w14:paraId="157AF3AB">
        <w:tc>
          <w:tcPr>
            <w:tcW w:w="5070" w:type="dxa"/>
            <w:tcMar/>
          </w:tcPr>
          <w:p w:rsidR="75E60A3B" w:rsidP="094FF0F6" w:rsidRDefault="75E60A3B" w14:paraId="201F7038" w14:textId="248E067D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Relay-based headphone protection</w:t>
            </w:r>
          </w:p>
        </w:tc>
        <w:tc>
          <w:tcPr>
            <w:tcW w:w="4670" w:type="dxa"/>
            <w:tcMar/>
          </w:tcPr>
          <w:p w:rsidR="75E60A3B" w:rsidP="094FF0F6" w:rsidRDefault="75E60A3B" w14:paraId="6E478B21" w14:textId="1D6BED41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Hardware volume knob and display</w:t>
            </w:r>
          </w:p>
        </w:tc>
      </w:tr>
      <w:tr w:rsidR="75E60A3B" w:rsidTr="094FF0F6" w14:paraId="7A1858EF">
        <w:tc>
          <w:tcPr>
            <w:tcW w:w="5070" w:type="dxa"/>
            <w:tcMar/>
          </w:tcPr>
          <w:p w:rsidR="75E60A3B" w:rsidP="094FF0F6" w:rsidRDefault="75E60A3B" w14:paraId="492BDEAE" w14:textId="34814DB6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Design automation: CI checks, BOM cost gate, DFF/DFA/DFT rules, AI datasheet review, automated measurement</w:t>
            </w:r>
          </w:p>
        </w:tc>
        <w:tc>
          <w:tcPr>
            <w:tcW w:w="4670" w:type="dxa"/>
            <w:tcMar/>
          </w:tcPr>
          <w:p w:rsidR="75E60A3B" w:rsidP="094FF0F6" w:rsidRDefault="75E60A3B" w14:paraId="3507B9B6" w14:textId="2D5F347A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Enclosure design (3D-printed case for prototypes only)</w:t>
            </w:r>
          </w:p>
        </w:tc>
      </w:tr>
    </w:tbl>
    <w:p w:rsidR="75E60A3B" w:rsidP="75E60A3B" w:rsidRDefault="75E60A3B" w14:noSpellErr="1" w14:paraId="34D96A2D" w14:textId="41E71370">
      <w:pPr>
        <w:pStyle w:val="Heading1"/>
      </w:pPr>
      <w:r w:rsidR="75E60A3B">
        <w:rPr/>
        <w:t>2. Key targets</w:t>
      </w:r>
    </w:p>
    <w:p w:rsidR="75E60A3B" w:rsidRDefault="75E60A3B" w14:paraId="6AD229B9" w14:textId="6F951226" w14:noSpellErr="1">
      <w:r w:rsidRPr="094FF0F6" w:rsidR="75E60A3B">
        <w:rPr>
          <w:sz w:val="20"/>
          <w:szCs w:val="20"/>
        </w:rPr>
        <w:t>All values below are proposed targets for v0.1; every board revision is measured against this table (Section 8).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1850"/>
        <w:gridCol w:w="3100"/>
        <w:gridCol w:w="1150"/>
        <w:gridCol w:w="2000"/>
        <w:gridCol w:w="1640"/>
      </w:tblGrid>
      <w:tr w:rsidR="75E60A3B" w:rsidTr="094FF0F6" w14:paraId="48BE5CDC">
        <w:trPr>
          <w:trHeight w:val="300"/>
        </w:trPr>
        <w:tc>
          <w:tcPr>
            <w:tcW w:w="1850" w:type="dxa"/>
            <w:tcMar/>
          </w:tcPr>
          <w:p w:rsidR="75E60A3B" w:rsidP="094FF0F6" w:rsidRDefault="75E60A3B" w14:paraId="10BB109D" w14:textId="645B2361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Parameter</w:t>
            </w:r>
          </w:p>
        </w:tc>
        <w:tc>
          <w:tcPr>
            <w:tcW w:w="3100" w:type="dxa"/>
            <w:tcMar/>
          </w:tcPr>
          <w:p w:rsidR="75E60A3B" w:rsidP="094FF0F6" w:rsidRDefault="75E60A3B" w14:paraId="134A01D6" w14:textId="5D390A25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Target</w:t>
            </w:r>
          </w:p>
        </w:tc>
        <w:tc>
          <w:tcPr>
            <w:tcW w:w="1150" w:type="dxa"/>
            <w:tcMar/>
          </w:tcPr>
          <w:p w:rsidR="75E60A3B" w:rsidP="094FF0F6" w:rsidRDefault="75E60A3B" w14:paraId="55E3EAC2" w14:textId="5616F0E9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Minimum acceptable</w:t>
            </w:r>
          </w:p>
        </w:tc>
        <w:tc>
          <w:tcPr>
            <w:tcW w:w="2000" w:type="dxa"/>
            <w:tcMar/>
          </w:tcPr>
          <w:p w:rsidR="75E60A3B" w:rsidP="094FF0F6" w:rsidRDefault="75E60A3B" w14:paraId="2F6F6B80" w14:textId="4EF4D7AD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Conditions</w:t>
            </w:r>
          </w:p>
        </w:tc>
        <w:tc>
          <w:tcPr>
            <w:tcW w:w="1640" w:type="dxa"/>
            <w:tcMar/>
          </w:tcPr>
          <w:p w:rsidR="75E60A3B" w:rsidP="094FF0F6" w:rsidRDefault="75E60A3B" w14:paraId="1DDC1603" w14:textId="47D2BE71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How verified</w:t>
            </w:r>
          </w:p>
        </w:tc>
      </w:tr>
      <w:tr w:rsidR="75E60A3B" w:rsidTr="094FF0F6" w14:paraId="2FC25649">
        <w:tc>
          <w:tcPr>
            <w:tcW w:w="1850" w:type="dxa"/>
            <w:tcMar/>
          </w:tcPr>
          <w:p w:rsidR="75E60A3B" w:rsidP="094FF0F6" w:rsidRDefault="75E60A3B" w14:paraId="57E772DB" w14:textId="5EE81EE6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PCM sample rate</w:t>
            </w:r>
          </w:p>
        </w:tc>
        <w:tc>
          <w:tcPr>
            <w:tcW w:w="3100" w:type="dxa"/>
            <w:tcMar/>
          </w:tcPr>
          <w:p w:rsidR="75E60A3B" w:rsidP="094FF0F6" w:rsidRDefault="75E60A3B" w14:paraId="4E3908E6" w14:textId="57C605AA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44.1–384 kHz, up to 32-bit</w:t>
            </w:r>
          </w:p>
        </w:tc>
        <w:tc>
          <w:tcPr>
            <w:tcW w:w="1150" w:type="dxa"/>
            <w:tcMar/>
          </w:tcPr>
          <w:p w:rsidR="75E60A3B" w:rsidP="094FF0F6" w:rsidRDefault="75E60A3B" w14:paraId="4A82E0DC" w14:textId="50A3EC6E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384 kHz</w:t>
            </w:r>
          </w:p>
        </w:tc>
        <w:tc>
          <w:tcPr>
            <w:tcW w:w="2000" w:type="dxa"/>
            <w:tcMar/>
          </w:tcPr>
          <w:p w:rsidR="75E60A3B" w:rsidP="094FF0F6" w:rsidRDefault="75E60A3B" w14:paraId="1518EEE8" w14:textId="4981D332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USB Audio Class 2.0</w:t>
            </w:r>
          </w:p>
        </w:tc>
        <w:tc>
          <w:tcPr>
            <w:tcW w:w="1640" w:type="dxa"/>
            <w:tcMar/>
          </w:tcPr>
          <w:p w:rsidR="75E60A3B" w:rsidP="094FF0F6" w:rsidRDefault="75E60A3B" w14:paraId="1915C698" w14:textId="425FB9F6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Host playback sweep at every rate</w:t>
            </w:r>
          </w:p>
        </w:tc>
      </w:tr>
      <w:tr w:rsidR="75E60A3B" w:rsidTr="094FF0F6" w14:paraId="7527A9DB">
        <w:tc>
          <w:tcPr>
            <w:tcW w:w="1850" w:type="dxa"/>
            <w:tcMar/>
          </w:tcPr>
          <w:p w:rsidR="75E60A3B" w:rsidP="094FF0F6" w:rsidRDefault="75E60A3B" w14:paraId="54B80B05" w14:textId="59751A6B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DSD (stretch goal)</w:t>
            </w:r>
          </w:p>
        </w:tc>
        <w:tc>
          <w:tcPr>
            <w:tcW w:w="3100" w:type="dxa"/>
            <w:tcMar/>
          </w:tcPr>
          <w:p w:rsidR="75E60A3B" w:rsidP="094FF0F6" w:rsidRDefault="75E60A3B" w14:paraId="79B596F7" w14:textId="5253012F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DoP</w:t>
            </w:r>
          </w:p>
        </w:tc>
        <w:tc>
          <w:tcPr>
            <w:tcW w:w="1150" w:type="dxa"/>
            <w:tcMar/>
          </w:tcPr>
          <w:p w:rsidR="75E60A3B" w:rsidP="094FF0F6" w:rsidRDefault="75E60A3B" w14:paraId="50DC6B2D" w14:textId="4B30E7F3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Optional</w:t>
            </w:r>
          </w:p>
        </w:tc>
        <w:tc>
          <w:tcPr>
            <w:tcW w:w="2000" w:type="dxa"/>
            <w:tcMar/>
          </w:tcPr>
          <w:p w:rsidR="75E60A3B" w:rsidP="094FF0F6" w:rsidRDefault="75E60A3B" w14:paraId="4197674D" w14:textId="440ECEB7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1640" w:type="dxa"/>
            <w:tcMar/>
          </w:tcPr>
          <w:p w:rsidR="75E60A3B" w:rsidP="094FF0F6" w:rsidRDefault="75E60A3B" w14:paraId="784DDBFA" w14:textId="3CECB57B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Host playback</w:t>
            </w:r>
          </w:p>
        </w:tc>
      </w:tr>
      <w:tr w:rsidR="75E60A3B" w:rsidTr="094FF0F6" w14:paraId="78AB5310">
        <w:tc>
          <w:tcPr>
            <w:tcW w:w="1850" w:type="dxa"/>
            <w:tcMar/>
          </w:tcPr>
          <w:p w:rsidR="75E60A3B" w:rsidP="094FF0F6" w:rsidRDefault="75E60A3B" w14:paraId="380C6390" w14:textId="540215F0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Drivers</w:t>
            </w:r>
          </w:p>
        </w:tc>
        <w:tc>
          <w:tcPr>
            <w:tcW w:w="3100" w:type="dxa"/>
            <w:tcMar/>
          </w:tcPr>
          <w:p w:rsidR="75E60A3B" w:rsidP="094FF0F6" w:rsidRDefault="75E60A3B" w14:paraId="33A63B4A" w14:textId="4CDFFCB4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Driverless on macOS/Linux; Windows 10/11 built-in USB Audio Class 2 driver</w:t>
            </w:r>
          </w:p>
        </w:tc>
        <w:tc>
          <w:tcPr>
            <w:tcW w:w="1150" w:type="dxa"/>
            <w:tcMar/>
          </w:tcPr>
          <w:p w:rsidR="75E60A3B" w:rsidP="094FF0F6" w:rsidRDefault="75E60A3B" w14:paraId="2F8E3063" w14:textId="45BDE378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52AC7ED2" w14:textId="3E9BCA3C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1640" w:type="dxa"/>
            <w:tcMar/>
          </w:tcPr>
          <w:p w:rsidR="75E60A3B" w:rsidP="094FF0F6" w:rsidRDefault="75E60A3B" w14:paraId="1324768E" w14:textId="3779B100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Host playback on each OS</w:t>
            </w:r>
          </w:p>
        </w:tc>
      </w:tr>
      <w:tr w:rsidR="75E60A3B" w:rsidTr="094FF0F6" w14:paraId="3E52C39D">
        <w:tc>
          <w:tcPr>
            <w:tcW w:w="1850" w:type="dxa"/>
            <w:tcMar/>
          </w:tcPr>
          <w:p w:rsidR="75E60A3B" w:rsidP="094FF0F6" w:rsidRDefault="75E60A3B" w14:paraId="4E0AB95E" w14:textId="4E8F1175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THD+N at 1 kHz</w:t>
            </w:r>
          </w:p>
        </w:tc>
        <w:tc>
          <w:tcPr>
            <w:tcW w:w="3100" w:type="dxa"/>
            <w:tcMar/>
          </w:tcPr>
          <w:p w:rsidR="75E60A3B" w:rsidP="094FF0F6" w:rsidRDefault="75E60A3B" w14:paraId="65059B73" w14:textId="476CF839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≤ −110 dB</w:t>
            </w:r>
          </w:p>
        </w:tc>
        <w:tc>
          <w:tcPr>
            <w:tcW w:w="1150" w:type="dxa"/>
            <w:tcMar/>
          </w:tcPr>
          <w:p w:rsidR="75E60A3B" w:rsidP="094FF0F6" w:rsidRDefault="75E60A3B" w14:paraId="1BC3EE5A" w14:textId="404ADEFD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≤ −105 dB</w:t>
            </w:r>
          </w:p>
        </w:tc>
        <w:tc>
          <w:tcPr>
            <w:tcW w:w="2000" w:type="dxa"/>
            <w:tcMar/>
          </w:tcPr>
          <w:p w:rsidR="75E60A3B" w:rsidP="094FF0F6" w:rsidRDefault="75E60A3B" w14:paraId="55A0EED1" w14:textId="3928C5C1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Balanced, 2 Vrms, 300 Ω load, low gain, 20 Hz–20 kHz bandwidth</w:t>
            </w:r>
          </w:p>
        </w:tc>
        <w:tc>
          <w:tcPr>
            <w:tcW w:w="1640" w:type="dxa"/>
            <w:tcMar/>
          </w:tcPr>
          <w:p w:rsidR="75E60A3B" w:rsidP="094FF0F6" w:rsidRDefault="75E60A3B" w14:paraId="2F09D22C" w14:textId="3206AC85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QA403 analyzer via Python</w:t>
            </w:r>
          </w:p>
        </w:tc>
      </w:tr>
      <w:tr w:rsidR="75E60A3B" w:rsidTr="094FF0F6" w14:paraId="4D04A29E">
        <w:tc>
          <w:tcPr>
            <w:tcW w:w="1850" w:type="dxa"/>
            <w:tcMar/>
          </w:tcPr>
          <w:p w:rsidR="75E60A3B" w:rsidP="094FF0F6" w:rsidRDefault="75E60A3B" w14:paraId="738264D6" w14:textId="491C0CFA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Dynamic range</w:t>
            </w:r>
          </w:p>
        </w:tc>
        <w:tc>
          <w:tcPr>
            <w:tcW w:w="3100" w:type="dxa"/>
            <w:tcMar/>
          </w:tcPr>
          <w:p w:rsidR="75E60A3B" w:rsidP="094FF0F6" w:rsidRDefault="75E60A3B" w14:paraId="34D4E79F" w14:textId="41F9F3BE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≥ 120 dB(A)</w:t>
            </w:r>
          </w:p>
        </w:tc>
        <w:tc>
          <w:tcPr>
            <w:tcW w:w="1150" w:type="dxa"/>
            <w:tcMar/>
          </w:tcPr>
          <w:p w:rsidR="75E60A3B" w:rsidP="094FF0F6" w:rsidRDefault="75E60A3B" w14:paraId="36C29DA8" w14:textId="3AD7DA82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≥ 117 dB(A)</w:t>
            </w:r>
          </w:p>
        </w:tc>
        <w:tc>
          <w:tcPr>
            <w:tcW w:w="2000" w:type="dxa"/>
            <w:tcMar/>
          </w:tcPr>
          <w:p w:rsidR="75E60A3B" w:rsidP="094FF0F6" w:rsidRDefault="75E60A3B" w14:paraId="3F6EF33E" w14:textId="33B5C146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Balanced, low gain</w:t>
            </w:r>
          </w:p>
        </w:tc>
        <w:tc>
          <w:tcPr>
            <w:tcW w:w="1640" w:type="dxa"/>
            <w:tcMar/>
          </w:tcPr>
          <w:p w:rsidR="75E60A3B" w:rsidP="094FF0F6" w:rsidRDefault="75E60A3B" w14:paraId="53FDEDD7" w14:textId="2C93A80A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QA403</w:t>
            </w:r>
          </w:p>
        </w:tc>
      </w:tr>
      <w:tr w:rsidR="75E60A3B" w:rsidTr="094FF0F6" w14:paraId="2DF8AADB">
        <w:tc>
          <w:tcPr>
            <w:tcW w:w="1850" w:type="dxa"/>
            <w:tcMar/>
          </w:tcPr>
          <w:p w:rsidR="75E60A3B" w:rsidP="094FF0F6" w:rsidRDefault="75E60A3B" w14:paraId="2ECB2221" w14:textId="43A9087F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Output power (Variant B)</w:t>
            </w:r>
          </w:p>
        </w:tc>
        <w:tc>
          <w:tcPr>
            <w:tcW w:w="3100" w:type="dxa"/>
            <w:tcMar/>
          </w:tcPr>
          <w:p w:rsidR="75E60A3B" w:rsidP="094FF0F6" w:rsidRDefault="75E60A3B" w14:paraId="4CC2B742" w14:textId="3C86EF43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≥ 1.0 W into 120 Ω; ≥ 1.2 W into 60 Ω</w:t>
            </w:r>
          </w:p>
        </w:tc>
        <w:tc>
          <w:tcPr>
            <w:tcW w:w="1150" w:type="dxa"/>
            <w:tcMar/>
          </w:tcPr>
          <w:p w:rsidR="75E60A3B" w:rsidP="094FF0F6" w:rsidRDefault="75E60A3B" w14:paraId="3EC045ED" w14:textId="3564D607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78E25BFE" w14:textId="2E42BCCB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Balanced, high gain, 1 kHz</w:t>
            </w:r>
          </w:p>
        </w:tc>
        <w:tc>
          <w:tcPr>
            <w:tcW w:w="1640" w:type="dxa"/>
            <w:tcMar/>
          </w:tcPr>
          <w:p w:rsidR="75E60A3B" w:rsidP="094FF0F6" w:rsidRDefault="75E60A3B" w14:paraId="4D8F1336" w14:textId="2720A38F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QA403 + dummy loads</w:t>
            </w:r>
          </w:p>
        </w:tc>
      </w:tr>
      <w:tr w:rsidR="75E60A3B" w:rsidTr="094FF0F6" w14:paraId="6BDB78A6">
        <w:tc>
          <w:tcPr>
            <w:tcW w:w="1850" w:type="dxa"/>
            <w:tcMar/>
          </w:tcPr>
          <w:p w:rsidR="75E60A3B" w:rsidP="094FF0F6" w:rsidRDefault="75E60A3B" w14:paraId="22E53030" w14:textId="3E360404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Output impedance</w:t>
            </w:r>
          </w:p>
        </w:tc>
        <w:tc>
          <w:tcPr>
            <w:tcW w:w="3100" w:type="dxa"/>
            <w:tcMar/>
          </w:tcPr>
          <w:p w:rsidR="75E60A3B" w:rsidP="094FF0F6" w:rsidRDefault="75E60A3B" w14:paraId="28C4BBE6" w14:textId="3713EAC8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&lt; 0.5 Ω</w:t>
            </w:r>
          </w:p>
        </w:tc>
        <w:tc>
          <w:tcPr>
            <w:tcW w:w="1150" w:type="dxa"/>
            <w:tcMar/>
          </w:tcPr>
          <w:p w:rsidR="75E60A3B" w:rsidP="094FF0F6" w:rsidRDefault="75E60A3B" w14:paraId="196FA7DB" w14:textId="2FF1D18C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313AF409" w14:textId="28CFB850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 kHz</w:t>
            </w:r>
          </w:p>
        </w:tc>
        <w:tc>
          <w:tcPr>
            <w:tcW w:w="1640" w:type="dxa"/>
            <w:tcMar/>
          </w:tcPr>
          <w:p w:rsidR="75E60A3B" w:rsidP="094FF0F6" w:rsidRDefault="75E60A3B" w14:paraId="5BA9B519" w14:textId="21AD9F14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Load/no-load method, 32 Ω and 300 Ω</w:t>
            </w:r>
          </w:p>
        </w:tc>
      </w:tr>
      <w:tr w:rsidR="75E60A3B" w:rsidTr="094FF0F6" w14:paraId="74DE68A2">
        <w:tc>
          <w:tcPr>
            <w:tcW w:w="1850" w:type="dxa"/>
            <w:tcMar/>
          </w:tcPr>
          <w:p w:rsidR="75E60A3B" w:rsidP="094FF0F6" w:rsidRDefault="75E60A3B" w14:paraId="2F07E8B3" w14:textId="38C2FF89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Frequency response</w:t>
            </w:r>
          </w:p>
        </w:tc>
        <w:tc>
          <w:tcPr>
            <w:tcW w:w="3100" w:type="dxa"/>
            <w:tcMar/>
          </w:tcPr>
          <w:p w:rsidR="75E60A3B" w:rsidP="094FF0F6" w:rsidRDefault="75E60A3B" w14:paraId="5E97D781" w14:textId="31A0E64D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±0.1 dB, 20 Hz–20 kHz</w:t>
            </w:r>
          </w:p>
        </w:tc>
        <w:tc>
          <w:tcPr>
            <w:tcW w:w="1150" w:type="dxa"/>
            <w:tcMar/>
          </w:tcPr>
          <w:p w:rsidR="75E60A3B" w:rsidP="094FF0F6" w:rsidRDefault="75E60A3B" w14:paraId="78BE8A11" w14:textId="2A7ECD11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78A5860F" w14:textId="235CB3D5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48 kHz and 384 kHz</w:t>
            </w:r>
          </w:p>
        </w:tc>
        <w:tc>
          <w:tcPr>
            <w:tcW w:w="1640" w:type="dxa"/>
            <w:tcMar/>
          </w:tcPr>
          <w:p w:rsidR="75E60A3B" w:rsidP="094FF0F6" w:rsidRDefault="75E60A3B" w14:paraId="28CDAB82" w14:textId="1C3A9A99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QA403</w:t>
            </w:r>
          </w:p>
        </w:tc>
      </w:tr>
      <w:tr w:rsidR="75E60A3B" w:rsidTr="094FF0F6" w14:paraId="6CCB2A40">
        <w:tc>
          <w:tcPr>
            <w:tcW w:w="1850" w:type="dxa"/>
            <w:tcMar/>
          </w:tcPr>
          <w:p w:rsidR="75E60A3B" w:rsidP="094FF0F6" w:rsidRDefault="75E60A3B" w14:paraId="6F9B0B43" w14:textId="334FFB0E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Crosstalk at 1 kHz</w:t>
            </w:r>
          </w:p>
        </w:tc>
        <w:tc>
          <w:tcPr>
            <w:tcW w:w="3100" w:type="dxa"/>
            <w:tcMar/>
          </w:tcPr>
          <w:p w:rsidR="75E60A3B" w:rsidP="094FF0F6" w:rsidRDefault="75E60A3B" w14:paraId="34724FF6" w14:textId="2C2DE1D2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≤ −100 dB (300 Ω); ≤ −90 dB (32 Ω)</w:t>
            </w:r>
          </w:p>
        </w:tc>
        <w:tc>
          <w:tcPr>
            <w:tcW w:w="1150" w:type="dxa"/>
            <w:tcMar/>
          </w:tcPr>
          <w:p w:rsidR="75E60A3B" w:rsidP="094FF0F6" w:rsidRDefault="75E60A3B" w14:paraId="4C2889DA" w14:textId="250BC896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6B91D34B" w14:textId="1DE9AF5A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1640" w:type="dxa"/>
            <w:tcMar/>
          </w:tcPr>
          <w:p w:rsidR="75E60A3B" w:rsidP="094FF0F6" w:rsidRDefault="75E60A3B" w14:paraId="1E076B0A" w14:textId="16C7961E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QA403</w:t>
            </w:r>
          </w:p>
        </w:tc>
      </w:tr>
      <w:tr w:rsidR="75E60A3B" w:rsidTr="094FF0F6" w14:paraId="2E6CD397">
        <w:tc>
          <w:tcPr>
            <w:tcW w:w="1850" w:type="dxa"/>
            <w:tcMar/>
          </w:tcPr>
          <w:p w:rsidR="75E60A3B" w:rsidP="094FF0F6" w:rsidRDefault="75E60A3B" w14:paraId="446B3449" w14:textId="2DDCF693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Channel balance</w:t>
            </w:r>
          </w:p>
        </w:tc>
        <w:tc>
          <w:tcPr>
            <w:tcW w:w="3100" w:type="dxa"/>
            <w:tcMar/>
          </w:tcPr>
          <w:p w:rsidR="75E60A3B" w:rsidP="094FF0F6" w:rsidRDefault="75E60A3B" w14:paraId="6A86F51E" w14:textId="26BADD57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±0.1 dB</w:t>
            </w:r>
          </w:p>
        </w:tc>
        <w:tc>
          <w:tcPr>
            <w:tcW w:w="1150" w:type="dxa"/>
            <w:tcMar/>
          </w:tcPr>
          <w:p w:rsidR="75E60A3B" w:rsidP="094FF0F6" w:rsidRDefault="75E60A3B" w14:paraId="5BF5DDA9" w14:textId="1F98C41B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359959D2" w14:textId="1876AADF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1640" w:type="dxa"/>
            <w:tcMar/>
          </w:tcPr>
          <w:p w:rsidR="75E60A3B" w:rsidP="094FF0F6" w:rsidRDefault="75E60A3B" w14:paraId="261E6281" w14:textId="115491A3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QA403</w:t>
            </w:r>
          </w:p>
        </w:tc>
      </w:tr>
      <w:tr w:rsidR="75E60A3B" w:rsidTr="094FF0F6" w14:paraId="54343F06">
        <w:tc>
          <w:tcPr>
            <w:tcW w:w="1850" w:type="dxa"/>
            <w:tcMar/>
          </w:tcPr>
          <w:p w:rsidR="75E60A3B" w:rsidP="094FF0F6" w:rsidRDefault="75E60A3B" w14:paraId="67B71015" w14:textId="2869F218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Output DC offset</w:t>
            </w:r>
          </w:p>
        </w:tc>
        <w:tc>
          <w:tcPr>
            <w:tcW w:w="3100" w:type="dxa"/>
            <w:tcMar/>
          </w:tcPr>
          <w:p w:rsidR="75E60A3B" w:rsidP="094FF0F6" w:rsidRDefault="75E60A3B" w14:paraId="577CBF0A" w14:textId="2147D8DC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≤ ±2 mV</w:t>
            </w:r>
          </w:p>
        </w:tc>
        <w:tc>
          <w:tcPr>
            <w:tcW w:w="1150" w:type="dxa"/>
            <w:tcMar/>
          </w:tcPr>
          <w:p w:rsidR="75E60A3B" w:rsidP="094FF0F6" w:rsidRDefault="75E60A3B" w14:paraId="38486247" w14:textId="1A25BFA0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447ACD1F" w14:textId="1303A664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1640" w:type="dxa"/>
            <w:tcMar/>
          </w:tcPr>
          <w:p w:rsidR="75E60A3B" w:rsidP="094FF0F6" w:rsidRDefault="75E60A3B" w14:paraId="49997F46" w14:textId="0BE18D28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</w:tr>
      <w:tr w:rsidR="75E60A3B" w:rsidTr="094FF0F6" w14:paraId="2184A309">
        <w:tc>
          <w:tcPr>
            <w:tcW w:w="1850" w:type="dxa"/>
            <w:tcMar/>
          </w:tcPr>
          <w:p w:rsidR="75E60A3B" w:rsidP="094FF0F6" w:rsidRDefault="75E60A3B" w14:paraId="4A256BD3" w14:textId="22F6ED9D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Protection</w:t>
            </w:r>
          </w:p>
        </w:tc>
        <w:tc>
          <w:tcPr>
            <w:tcW w:w="3100" w:type="dxa"/>
            <w:tcMar/>
          </w:tcPr>
          <w:p w:rsidR="75E60A3B" w:rsidP="094FF0F6" w:rsidRDefault="75E60A3B" w14:paraId="2EB21B6A" w14:textId="1BD4D461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Output relay closes 2–3 s after power is good; opens within 100 ms on output DC &gt; ±1 V or loss of power</w:t>
            </w:r>
          </w:p>
        </w:tc>
        <w:tc>
          <w:tcPr>
            <w:tcW w:w="1150" w:type="dxa"/>
            <w:tcMar/>
          </w:tcPr>
          <w:p w:rsidR="75E60A3B" w:rsidP="094FF0F6" w:rsidRDefault="75E60A3B" w14:paraId="6455FB48" w14:textId="14B2BB25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5B1E2505" w14:textId="0D90A1E9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1640" w:type="dxa"/>
            <w:tcMar/>
          </w:tcPr>
          <w:p w:rsidR="75E60A3B" w:rsidP="094FF0F6" w:rsidRDefault="75E60A3B" w14:paraId="790DE3BD" w14:textId="066E88AD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Oscilloscope</w:t>
            </w:r>
          </w:p>
        </w:tc>
      </w:tr>
      <w:tr w:rsidR="75E60A3B" w:rsidTr="094FF0F6" w14:paraId="4AF5ABD6">
        <w:tc>
          <w:tcPr>
            <w:tcW w:w="1850" w:type="dxa"/>
            <w:tcMar/>
          </w:tcPr>
          <w:p w:rsidR="75E60A3B" w:rsidP="094FF0F6" w:rsidRDefault="75E60A3B" w14:paraId="6B3FF95F" w14:textId="1D83E922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Power</w:t>
            </w:r>
          </w:p>
        </w:tc>
        <w:tc>
          <w:tcPr>
            <w:tcW w:w="3100" w:type="dxa"/>
            <w:tcMar/>
          </w:tcPr>
          <w:p w:rsidR="75E60A3B" w:rsidP="094FF0F6" w:rsidRDefault="75E60A3B" w14:paraId="61686724" w14:textId="1661CFE6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Data port ≤ 500 mA at 5 V (USB 2.0 budget); amplifier power from a separate USB-C PD port at 15 V</w:t>
            </w:r>
          </w:p>
        </w:tc>
        <w:tc>
          <w:tcPr>
            <w:tcW w:w="1150" w:type="dxa"/>
            <w:tcMar/>
          </w:tcPr>
          <w:p w:rsidR="75E60A3B" w:rsidP="094FF0F6" w:rsidRDefault="75E60A3B" w14:paraId="1E9F7B40" w14:textId="0F3FB6AA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45AFE293" w14:textId="081D9D6E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≥ 20 W charger</w:t>
            </w:r>
          </w:p>
        </w:tc>
        <w:tc>
          <w:tcPr>
            <w:tcW w:w="1640" w:type="dxa"/>
            <w:tcMar/>
          </w:tcPr>
          <w:p w:rsidR="75E60A3B" w:rsidP="094FF0F6" w:rsidRDefault="75E60A3B" w14:paraId="64ACB736" w14:textId="00FB8432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</w:tr>
      <w:tr w:rsidR="75E60A3B" w:rsidTr="094FF0F6" w14:paraId="713BE88C">
        <w:tc>
          <w:tcPr>
            <w:tcW w:w="1850" w:type="dxa"/>
            <w:tcMar/>
          </w:tcPr>
          <w:p w:rsidR="75E60A3B" w:rsidP="094FF0F6" w:rsidRDefault="75E60A3B" w14:paraId="55B38FEF" w14:textId="1810E4A7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Thermal</w:t>
            </w:r>
          </w:p>
        </w:tc>
        <w:tc>
          <w:tcPr>
            <w:tcW w:w="3100" w:type="dxa"/>
            <w:tcMar/>
          </w:tcPr>
          <w:p w:rsidR="75E60A3B" w:rsidP="094FF0F6" w:rsidRDefault="75E60A3B" w14:paraId="6FA10177" w14:textId="10EECB6B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All parts within ratings</w:t>
            </w:r>
          </w:p>
        </w:tc>
        <w:tc>
          <w:tcPr>
            <w:tcW w:w="1150" w:type="dxa"/>
            <w:tcMar/>
          </w:tcPr>
          <w:p w:rsidR="75E60A3B" w:rsidP="094FF0F6" w:rsidRDefault="75E60A3B" w14:paraId="4B20EF72" w14:textId="09CCB22F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4228BE3E" w14:textId="02AA98F3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30 min at full rated power, 0–40 °C ambient</w:t>
            </w:r>
          </w:p>
        </w:tc>
        <w:tc>
          <w:tcPr>
            <w:tcW w:w="1640" w:type="dxa"/>
            <w:tcMar/>
          </w:tcPr>
          <w:p w:rsidR="75E60A3B" w:rsidP="094FF0F6" w:rsidRDefault="75E60A3B" w14:paraId="26ABAAF2" w14:textId="7B887FB7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Thermocouple / IR camera</w:t>
            </w:r>
          </w:p>
        </w:tc>
      </w:tr>
      <w:tr w:rsidR="75E60A3B" w:rsidTr="094FF0F6" w14:paraId="6D80356F">
        <w:tc>
          <w:tcPr>
            <w:tcW w:w="1850" w:type="dxa"/>
            <w:tcMar/>
          </w:tcPr>
          <w:p w:rsidR="75E60A3B" w:rsidP="094FF0F6" w:rsidRDefault="75E60A3B" w14:paraId="7B21BEFD" w14:textId="129DE02C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PCB</w:t>
            </w:r>
          </w:p>
        </w:tc>
        <w:tc>
          <w:tcPr>
            <w:tcW w:w="3100" w:type="dxa"/>
            <w:tcMar/>
          </w:tcPr>
          <w:p w:rsidR="75E60A3B" w:rsidP="094FF0F6" w:rsidRDefault="75E60A3B" w14:paraId="2737BFFC" w14:textId="0B7BC6F0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 layers, ≤ 100 × 70 mm, all SMT parts on top side, 90 Ω controlled-impedance USB pair</w:t>
            </w:r>
          </w:p>
        </w:tc>
        <w:tc>
          <w:tcPr>
            <w:tcW w:w="1150" w:type="dxa"/>
            <w:tcMar/>
          </w:tcPr>
          <w:p w:rsidR="75E60A3B" w:rsidP="094FF0F6" w:rsidRDefault="75E60A3B" w14:paraId="4DF0D921" w14:textId="0459ADB4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7194A695" w14:textId="7D379478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1640" w:type="dxa"/>
            <w:tcMar/>
          </w:tcPr>
          <w:p w:rsidR="75E60A3B" w:rsidP="094FF0F6" w:rsidRDefault="75E60A3B" w14:paraId="48899E8F" w14:textId="76157B3C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ERC/DRC and layout-rule checks in CI (Section 8)</w:t>
            </w:r>
          </w:p>
        </w:tc>
      </w:tr>
      <w:tr w:rsidR="75E60A3B" w:rsidTr="094FF0F6" w14:paraId="3C11C87D">
        <w:tc>
          <w:tcPr>
            <w:tcW w:w="1850" w:type="dxa"/>
            <w:tcMar/>
          </w:tcPr>
          <w:p w:rsidR="75E60A3B" w:rsidP="094FF0F6" w:rsidRDefault="75E60A3B" w14:paraId="2C42E5A3" w14:textId="0D2ADBB1" w14:noSpellErr="1">
            <w:pPr>
              <w:pStyle w:val="Caption"/>
            </w:pPr>
            <w:r w:rsidRPr="094FF0F6" w:rsidR="75E60A3B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Cost</w:t>
            </w:r>
          </w:p>
        </w:tc>
        <w:tc>
          <w:tcPr>
            <w:tcW w:w="3100" w:type="dxa"/>
            <w:tcMar/>
          </w:tcPr>
          <w:p w:rsidR="75E60A3B" w:rsidP="094FF0F6" w:rsidRDefault="75E60A3B" w14:paraId="556D55A2" w14:textId="0608C275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≈ 1,000 NTD per assembled board</w:t>
            </w:r>
          </w:p>
        </w:tc>
        <w:tc>
          <w:tcPr>
            <w:tcW w:w="1150" w:type="dxa"/>
            <w:tcMar/>
          </w:tcPr>
          <w:p w:rsidR="75E60A3B" w:rsidP="094FF0F6" w:rsidRDefault="75E60A3B" w14:paraId="2524C299" w14:textId="7EE6A939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  <w:tc>
          <w:tcPr>
            <w:tcW w:w="2000" w:type="dxa"/>
            <w:tcMar/>
          </w:tcPr>
          <w:p w:rsidR="75E60A3B" w:rsidP="094FF0F6" w:rsidRDefault="75E60A3B" w14:paraId="3AA7BE6D" w14:textId="77C48FFD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100 units</w:t>
            </w:r>
          </w:p>
        </w:tc>
        <w:tc>
          <w:tcPr>
            <w:tcW w:w="1640" w:type="dxa"/>
            <w:tcMar/>
          </w:tcPr>
          <w:p w:rsidR="75E60A3B" w:rsidP="094FF0F6" w:rsidRDefault="75E60A3B" w14:paraId="458D4497" w14:textId="70A276C1" w14:noSpellErr="1">
            <w:pPr>
              <w:pStyle w:val="Caption"/>
            </w:pPr>
            <w:r w:rsidRPr="094FF0F6" w:rsidR="75E60A3B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BOM cost gate on every commit (Section 8)</w:t>
            </w:r>
          </w:p>
        </w:tc>
      </w:tr>
    </w:tbl>
    <w:p w:rsidR="75E60A3B" w:rsidP="75E60A3B" w:rsidRDefault="75E60A3B" w14:noSpellErr="1" w14:paraId="2979D117" w14:textId="60F6DF10">
      <w:pPr>
        <w:pStyle w:val="Heading1"/>
      </w:pPr>
      <w:r w:rsidR="75E60A3B">
        <w:rPr/>
        <w:t>3. Architecture</w:t>
      </w:r>
    </w:p>
    <w:p w:rsidR="75E60A3B" w:rsidP="75E60A3B" w:rsidRDefault="75E60A3B" w14:noSpellErr="1" w14:paraId="6F00C883" w14:textId="551A6AF3">
      <w:pPr>
        <w:pStyle w:val="Heading2"/>
      </w:pPr>
      <w:r w:rsidR="75E60A3B">
        <w:rPr/>
        <w:t>3.1 Signal and control path</w:t>
      </w:r>
    </w:p>
    <w:p w:rsidR="2C3A784D" w:rsidP="2C3A784D" w:rsidRDefault="2C3A784D" w14:noSpellErr="1" w14:paraId="1E66B2D5" w14:textId="309179D8">
      <w:pPr>
        <w:jc w:val="center"/>
      </w:pPr>
      <w:r w:rsidR="2C3A784D">
        <w:drawing>
          <wp:inline wp14:editId="4812F45E" wp14:anchorId="3B0FAF1E">
            <wp:extent cx="5669280" cy="2679192"/>
            <wp:effectExtent l="0" t="0" r="0" b="0"/>
            <wp:docPr id="1211380658" name="drawing" descr="Block diagram of the signal and control path: USB-C data port, ESD protection, XMOS XU316 with QSPI boot flash and 24 MHz crystal, two audio master-clock oscillators feeding the XU316 and the AK4493SEQ DAC, output stage with four OPA1622, protection relays driven by a delay and DC-detect chip, and 4.4 mm balanced and 6.35 mm single-ended jack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380658" name="Picture 1211380658"/>
                    <pic:cNvPicPr/>
                  </pic:nvPicPr>
                  <pic:blipFill>
                    <a:blip xmlns:r="http://schemas.openxmlformats.org/officeDocument/2006/relationships" r:embed="rId27877680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60A3B" w:rsidP="75E60A3B" w:rsidRDefault="75E60A3B" w14:noSpellErr="1" w14:paraId="1D1E7323" w14:textId="63592C1B">
      <w:pPr>
        <w:pStyle w:val="Caption"/>
      </w:pPr>
      <w:r w:rsidR="75E60A3B">
        <w:rPr/>
        <w:t>Figure 1. Signal and control path (Variant B output stage shown).</w:t>
      </w:r>
    </w:p>
    <w:p w:rsidR="2C3A784D" w:rsidP="2C3A784D" w:rsidRDefault="2C3A784D" w14:paraId="65AE0002" w14:textId="6A3C92E9" w14:noSpellErr="1">
      <w:pPr>
        <w:pStyle w:val="ListBullet"/>
        <w:rPr/>
      </w:pPr>
      <w:r w:rsidRPr="094FF0F6" w:rsidR="2C3A784D">
        <w:rPr>
          <w:sz w:val="20"/>
          <w:szCs w:val="20"/>
        </w:rPr>
        <w:t>The USB-C data port brings USB 2.0 High-Speed audio in through ESD protection; its 5 V bus powers the digital section.</w:t>
      </w:r>
    </w:p>
    <w:p w:rsidR="2C3A784D" w:rsidP="2C3A784D" w:rsidRDefault="2C3A784D" w14:paraId="2AF22BB1" w14:textId="24568816" w14:noSpellErr="1">
      <w:pPr>
        <w:pStyle w:val="ListBullet"/>
        <w:rPr/>
      </w:pPr>
      <w:r w:rsidRPr="094FF0F6" w:rsidR="2C3A784D">
        <w:rPr>
          <w:sz w:val="20"/>
          <w:szCs w:val="20"/>
        </w:rPr>
        <w:t>The XMOS XU316 runs XMOS’s free sw_usb_audio reference firmware (USB Audio Class 2.0), boots from an external QSPI flash, uses a 24 MHz crystal, sends I²S/DSD audio plus MCLK to the DAC and controls it over I²C.</w:t>
      </w:r>
    </w:p>
    <w:p w:rsidR="2C3A784D" w:rsidP="2C3A784D" w:rsidRDefault="2C3A784D" w14:paraId="60C1844E" w14:textId="6DC940B1" w14:noSpellErr="1">
      <w:pPr>
        <w:pStyle w:val="ListBullet"/>
        <w:rPr/>
      </w:pPr>
      <w:r w:rsidRPr="094FF0F6" w:rsidR="2C3A784D">
        <w:rPr>
          <w:sz w:val="20"/>
          <w:szCs w:val="20"/>
        </w:rPr>
        <w:t>Two audio master-clock oscillators (22.5792 MHz for the 44.1 kHz family, 24.576 MHz for the 48 kHz family) feed both the XU316 and the DAC; the XU316 selects the oscillator.</w:t>
      </w:r>
    </w:p>
    <w:p w:rsidR="2C3A784D" w:rsidP="2C3A784D" w:rsidRDefault="2C3A784D" w14:paraId="12D8044E" w14:textId="76F4D729" w14:noSpellErr="1">
      <w:pPr>
        <w:pStyle w:val="ListBullet"/>
        <w:rPr/>
      </w:pPr>
      <w:r w:rsidRPr="094FF0F6" w:rsidR="2C3A784D">
        <w:rPr>
          <w:sz w:val="20"/>
          <w:szCs w:val="20"/>
        </w:rPr>
        <w:t>The AKM AK4493SEQ delivers differential L/R outputs and applies host volume in its hardware attenuator.</w:t>
      </w:r>
    </w:p>
    <w:p w:rsidR="2C3A784D" w:rsidP="2C3A784D" w:rsidRDefault="2C3A784D" w14:paraId="119A67A9" w14:textId="476E7630" w14:noSpellErr="1">
      <w:pPr>
        <w:pStyle w:val="ListBullet"/>
        <w:rPr/>
      </w:pPr>
      <w:r w:rsidRPr="094FF0F6" w:rsidR="2C3A784D">
        <w:rPr>
          <w:sz w:val="20"/>
          <w:szCs w:val="20"/>
        </w:rPr>
        <w:t>The output stage (4 × TI OPA1622) makes each output leg a difference amplifier plus low-pass filter, with two op-amps paralleled per leg through small ballast resistors; a 2-position switch sets the gain.</w:t>
      </w:r>
    </w:p>
    <w:p w:rsidR="2C3A784D" w:rsidP="2C3A784D" w:rsidRDefault="2C3A784D" w14:paraId="33DCD7A4" w14:textId="71BCA820" w14:noSpellErr="1">
      <w:pPr>
        <w:pStyle w:val="ListBullet"/>
        <w:rPr/>
      </w:pPr>
      <w:r w:rsidRPr="094FF0F6" w:rsidR="2C3A784D">
        <w:rPr>
          <w:sz w:val="20"/>
          <w:szCs w:val="20"/>
        </w:rPr>
        <w:t>A delay/DC-detect protection chip drives the relays on all four output legs (Section 5.3).</w:t>
      </w:r>
    </w:p>
    <w:p w:rsidR="2C3A784D" w:rsidP="2C3A784D" w:rsidRDefault="2C3A784D" w14:paraId="581E59AD" w14:textId="34E0D7C6" w14:noSpellErr="1">
      <w:pPr>
        <w:pStyle w:val="ListBullet"/>
        <w:rPr/>
      </w:pPr>
      <w:r w:rsidRPr="094FF0F6" w:rsidR="2C3A784D">
        <w:rPr>
          <w:sz w:val="20"/>
          <w:szCs w:val="20"/>
        </w:rPr>
        <w:t>The 4.4 mm balanced jack carries all four legs; the 6.35 mm single-ended jack uses the + legs only.</w:t>
      </w:r>
    </w:p>
    <w:p w:rsidR="2C3A784D" w:rsidP="2C3A784D" w:rsidRDefault="2C3A784D" w14:noSpellErr="1" w14:paraId="25AB0D05" w14:textId="38549542">
      <w:pPr>
        <w:pStyle w:val="Heading2"/>
      </w:pPr>
      <w:r w:rsidR="2C3A784D">
        <w:rPr/>
        <w:t>3.2 Power path</w:t>
      </w:r>
    </w:p>
    <w:p w:rsidR="2C3A784D" w:rsidP="2C3A784D" w:rsidRDefault="2C3A784D" w14:paraId="551A5924" w14:textId="565C9599" w14:noSpellErr="1">
      <w:pPr>
        <w:pStyle w:val="ListBullet"/>
        <w:rPr/>
      </w:pPr>
      <w:r w:rsidRPr="094FF0F6" w:rsidR="2C3A784D">
        <w:rPr>
          <w:sz w:val="20"/>
          <w:szCs w:val="20"/>
        </w:rPr>
        <w:t>The digital section is bus-powered from the USB-C data port (5 V, within the 500 mA USB 2.0 budget): a 0.9 V buck feeds the XU316 core and a 3.3 V LDO feeds the XU316 I/O and the DAC digital supply.</w:t>
      </w:r>
    </w:p>
    <w:p w:rsidR="2C3A784D" w:rsidP="2C3A784D" w:rsidRDefault="2C3A784D" w14:paraId="2BDAAAFF" w14:textId="61FE404E" w14:noSpellErr="1">
      <w:pPr>
        <w:pStyle w:val="ListBullet"/>
        <w:rPr/>
      </w:pPr>
      <w:r w:rsidRPr="094FF0F6" w:rsidR="2C3A784D">
        <w:rPr>
          <w:sz w:val="20"/>
          <w:szCs w:val="20"/>
        </w:rPr>
        <w:t>The analog section runs from a separate USB-C power port: a USB PD sink chip requests 15 V from a ≥ 20 W charger and feeds a +12 V low-noise LDO, an inverting buck-boost converter to about −14 V followed by a −12 V low-noise LDO, and a +5 V low-noise LDO for the DAC analog supply (VDDL/R).</w:t>
      </w:r>
    </w:p>
    <w:p w:rsidR="19F62171" w:rsidP="19F62171" w:rsidRDefault="19F62171" w14:paraId="3366E14C" w14:textId="650B8BC1" w14:noSpellErr="1">
      <w:pPr>
        <w:pStyle w:val="ListBullet"/>
        <w:rPr/>
      </w:pPr>
      <w:r w:rsidRPr="094FF0F6" w:rsidR="19F62171">
        <w:rPr>
          <w:sz w:val="20"/>
          <w:szCs w:val="20"/>
        </w:rPr>
        <w:t>If the PD charger is absent, the analog section stays off and the outputs stay muted.</w:t>
      </w:r>
    </w:p>
    <w:p w:rsidR="094FF0F6" w:rsidP="094FF0F6" w:rsidRDefault="094FF0F6" w14:noSpellErr="1" w14:paraId="76E2194D" w14:textId="57A4780E">
      <w:pPr>
        <w:jc w:val="center"/>
      </w:pPr>
      <w:r w:rsidR="094FF0F6">
        <w:drawing>
          <wp:inline wp14:editId="20D98C9F" wp14:anchorId="40B27EF4">
            <wp:extent cx="5669280" cy="1792224"/>
            <wp:effectExtent l="0" t="0" r="0" b="0"/>
            <wp:docPr id="1792983414" name="drawing" descr="Power path diagram: the USB-C data port 5 V feeds a 0.9 V buck for the XU316 core and a 3.3 V LDO for XU316 I/O and DAC digital supply; the USB-C power port feeds a USB PD sink requesting 15 V, which supplies a +12 V low-noise LDO, an inverting buck-boost to about minus 14 V followed by a minus 12 V low-noise LDO, and a +5 V low-noise LDO for the DAC analog supply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983414" name="Picture 1792983414"/>
                    <pic:cNvPicPr/>
                  </pic:nvPicPr>
                  <pic:blipFill>
                    <a:blip xmlns:r="http://schemas.openxmlformats.org/officeDocument/2006/relationships" r:embed="rId5947261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FF0F6" w:rsidP="094FF0F6" w:rsidRDefault="094FF0F6" w14:noSpellErr="1" w14:paraId="3D8BE75E" w14:textId="7BBFCC5E">
      <w:pPr>
        <w:pStyle w:val="Caption"/>
      </w:pPr>
      <w:r w:rsidR="094FF0F6">
        <w:rPr/>
        <w:t>Figure 2. Power path.</w:t>
      </w:r>
    </w:p>
    <w:p w:rsidR="19F62171" w:rsidP="19F62171" w:rsidRDefault="19F62171" w14:noSpellErr="1" w14:paraId="335CE1A5" w14:textId="7A622FC3">
      <w:pPr>
        <w:pStyle w:val="Heading2"/>
      </w:pPr>
      <w:r w:rsidR="19F62171">
        <w:rPr/>
        <w:t>3.3 Volume and gain structure</w:t>
      </w:r>
    </w:p>
    <w:p w:rsidR="2C3A784D" w:rsidRDefault="2C3A784D" w14:paraId="20B8C137" w14:textId="705F0FC7" w14:noSpellErr="1">
      <w:r w:rsidRPr="094FF0F6" w:rsidR="2C3A784D">
        <w:rPr>
          <w:sz w:val="20"/>
          <w:szCs w:val="20"/>
        </w:rPr>
        <w:t>Volume comes from the host via USB Audio Class and is applied in the AK4493SEQ’s hardware attenuator (255 levels, 0.5 dB steps plus mute); a hardware knob is deferred to v2. The DAC full scale is ≈ 2 Vrms differential per channel, and the 2-position gain switch sets the output stage as follows.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1600"/>
        <w:gridCol w:w="1900"/>
        <w:gridCol w:w="3500"/>
        <w:gridCol w:w="2740"/>
      </w:tblGrid>
      <w:tr w:rsidR="19F62171" w:rsidTr="094FF0F6" w14:paraId="2611C476">
        <w:trPr>
          <w:trHeight w:val="300"/>
        </w:trPr>
        <w:tc>
          <w:tcPr>
            <w:tcW w:w="1600" w:type="dxa"/>
            <w:tcMar/>
          </w:tcPr>
          <w:p w:rsidR="19F62171" w:rsidP="094FF0F6" w:rsidRDefault="19F62171" w14:paraId="18813F08" w14:textId="65A471EA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Gain setting</w:t>
            </w:r>
          </w:p>
        </w:tc>
        <w:tc>
          <w:tcPr>
            <w:tcW w:w="1900" w:type="dxa"/>
            <w:tcMar/>
          </w:tcPr>
          <w:p w:rsidR="19F62171" w:rsidP="094FF0F6" w:rsidRDefault="19F62171" w14:paraId="159920F8" w14:textId="5E8258AE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Differential gain</w:t>
            </w:r>
          </w:p>
        </w:tc>
        <w:tc>
          <w:tcPr>
            <w:tcW w:w="3500" w:type="dxa"/>
            <w:tcMar/>
          </w:tcPr>
          <w:p w:rsidR="19F62171" w:rsidP="094FF0F6" w:rsidRDefault="19F62171" w14:paraId="6AA5C8FC" w14:textId="57603F72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Balanced full-scale output</w:t>
            </w:r>
          </w:p>
        </w:tc>
        <w:tc>
          <w:tcPr>
            <w:tcW w:w="2740" w:type="dxa"/>
            <w:tcMar/>
          </w:tcPr>
          <w:p w:rsidR="19F62171" w:rsidP="094FF0F6" w:rsidRDefault="19F62171" w14:paraId="7E51220F" w14:textId="503E2636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Notes</w:t>
            </w:r>
          </w:p>
        </w:tc>
      </w:tr>
      <w:tr w:rsidR="19F62171" w:rsidTr="094FF0F6" w14:paraId="4D247A03">
        <w:tc>
          <w:tcPr>
            <w:tcW w:w="1600" w:type="dxa"/>
            <w:tcMar/>
          </w:tcPr>
          <w:p w:rsidR="19F62171" w:rsidP="094FF0F6" w:rsidRDefault="19F62171" w14:paraId="2C29A051" w14:textId="675386A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High gain</w:t>
            </w:r>
          </w:p>
        </w:tc>
        <w:tc>
          <w:tcPr>
            <w:tcW w:w="1900" w:type="dxa"/>
            <w:tcMar/>
          </w:tcPr>
          <w:p w:rsidR="19F62171" w:rsidP="094FF0F6" w:rsidRDefault="19F62171" w14:paraId="14D63EC9" w14:textId="60316D6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5.48× (+14.8 dB)</w:t>
            </w:r>
          </w:p>
        </w:tc>
        <w:tc>
          <w:tcPr>
            <w:tcW w:w="3500" w:type="dxa"/>
            <w:tcMar/>
          </w:tcPr>
          <w:p w:rsidR="19F62171" w:rsidP="094FF0F6" w:rsidRDefault="19F62171" w14:paraId="4FDA3AD1" w14:textId="590F543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10.96 Vrms (5.48 Vrms, 7.75 V peak per leg)</w:t>
            </w:r>
          </w:p>
        </w:tc>
        <w:tc>
          <w:tcPr>
            <w:tcW w:w="2740" w:type="dxa"/>
            <w:tcMar/>
          </w:tcPr>
          <w:p w:rsidR="19F62171" w:rsidP="094FF0F6" w:rsidRDefault="19F62171" w14:paraId="71802C97" w14:textId="51ED3AF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Fits within the ±12 V rails</w:t>
            </w:r>
          </w:p>
        </w:tc>
      </w:tr>
      <w:tr w:rsidR="19F62171" w:rsidTr="094FF0F6" w14:paraId="52E59406">
        <w:tc>
          <w:tcPr>
            <w:tcW w:w="1600" w:type="dxa"/>
            <w:tcMar/>
          </w:tcPr>
          <w:p w:rsidR="19F62171" w:rsidP="094FF0F6" w:rsidRDefault="19F62171" w14:paraId="61D28AB6" w14:textId="69029B6C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Low gain</w:t>
            </w:r>
          </w:p>
        </w:tc>
        <w:tc>
          <w:tcPr>
            <w:tcW w:w="1900" w:type="dxa"/>
            <w:tcMar/>
          </w:tcPr>
          <w:p w:rsidR="19F62171" w:rsidP="094FF0F6" w:rsidRDefault="19F62171" w14:paraId="1160D3C3" w14:textId="61E0823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1× (0 dB)</w:t>
            </w:r>
          </w:p>
        </w:tc>
        <w:tc>
          <w:tcPr>
            <w:tcW w:w="3500" w:type="dxa"/>
            <w:tcMar/>
          </w:tcPr>
          <w:p w:rsidR="19F62171" w:rsidP="094FF0F6" w:rsidRDefault="19F62171" w14:paraId="7514DC9D" w14:textId="5ABE68F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2 Vrms</w:t>
            </w:r>
          </w:p>
        </w:tc>
        <w:tc>
          <w:tcPr>
            <w:tcW w:w="2740" w:type="dxa"/>
            <w:tcMar/>
          </w:tcPr>
          <w:p w:rsidR="19F62171" w:rsidP="094FF0F6" w:rsidRDefault="19F62171" w14:paraId="4CEA8FF2" w14:textId="539C4FB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For sensitive headphones</w:t>
            </w:r>
          </w:p>
        </w:tc>
      </w:tr>
    </w:tbl>
    <w:p w:rsidR="19F62171" w:rsidP="19F62171" w:rsidRDefault="19F62171" w14:noSpellErr="1" w14:paraId="757339FF" w14:textId="5284180F">
      <w:pPr>
        <w:pStyle w:val="Heading1"/>
      </w:pPr>
      <w:r w:rsidR="19F62171">
        <w:rPr/>
        <w:t>4. Key parts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1300"/>
        <w:gridCol w:w="850"/>
        <w:gridCol w:w="3650"/>
        <w:gridCol w:w="1300"/>
        <w:gridCol w:w="800"/>
        <w:gridCol w:w="1840"/>
      </w:tblGrid>
      <w:tr w:rsidR="19F62171" w:rsidTr="094FF0F6" w14:paraId="3E6BD5BD">
        <w:trPr>
          <w:trHeight w:val="300"/>
        </w:trPr>
        <w:tc>
          <w:tcPr>
            <w:tcW w:w="1300" w:type="dxa"/>
            <w:tcMar/>
          </w:tcPr>
          <w:p w:rsidR="19F62171" w:rsidP="094FF0F6" w:rsidRDefault="19F62171" w14:paraId="53937B4C" w14:textId="4707320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Part</w:t>
            </w:r>
          </w:p>
        </w:tc>
        <w:tc>
          <w:tcPr>
            <w:tcW w:w="850" w:type="dxa"/>
            <w:tcMar/>
          </w:tcPr>
          <w:p w:rsidR="19F62171" w:rsidP="094FF0F6" w:rsidRDefault="19F62171" w14:paraId="20A4260C" w14:textId="3FE518C5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Role</w:t>
            </w:r>
          </w:p>
        </w:tc>
        <w:tc>
          <w:tcPr>
            <w:tcW w:w="3650" w:type="dxa"/>
            <w:tcMar/>
          </w:tcPr>
          <w:p w:rsidR="19F62171" w:rsidP="094FF0F6" w:rsidRDefault="19F62171" w14:paraId="38684944" w14:textId="38C2FF8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Key specs</w:t>
            </w:r>
          </w:p>
        </w:tc>
        <w:tc>
          <w:tcPr>
            <w:tcW w:w="1300" w:type="dxa"/>
            <w:tcMar/>
          </w:tcPr>
          <w:p w:rsidR="19F62171" w:rsidP="094FF0F6" w:rsidRDefault="19F62171" w14:paraId="52D89DE7" w14:textId="31A0E64D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Package / assembly note</w:t>
            </w:r>
          </w:p>
        </w:tc>
        <w:tc>
          <w:tcPr>
            <w:tcW w:w="800" w:type="dxa"/>
            <w:tcMar/>
          </w:tcPr>
          <w:p w:rsidR="19F62171" w:rsidP="094FF0F6" w:rsidRDefault="19F62171" w14:paraId="393BB4CB" w14:textId="2A7ECD11" w14:noSpellErr="1">
            <w:pPr>
              <w:pStyle w:val="Caption"/>
              <w:jc w:val="right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Unit price @100</w:t>
            </w:r>
          </w:p>
        </w:tc>
        <w:tc>
          <w:tcPr>
            <w:tcW w:w="1840" w:type="dxa"/>
            <w:tcMar/>
          </w:tcPr>
          <w:p w:rsidR="19F62171" w:rsidP="094FF0F6" w:rsidRDefault="19F62171" w14:paraId="74637E69" w14:textId="235CB3D5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Source</w:t>
            </w:r>
          </w:p>
        </w:tc>
      </w:tr>
      <w:tr w:rsidR="19F62171" w:rsidTr="094FF0F6" w14:paraId="76AB9EBA">
        <w:tc>
          <w:tcPr>
            <w:tcW w:w="1300" w:type="dxa"/>
            <w:tcMar/>
          </w:tcPr>
          <w:p w:rsidR="19F62171" w:rsidP="094FF0F6" w:rsidRDefault="19F62171" w14:paraId="1CE8956E" w14:textId="3A72144A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XMOS XU316-1024-QF60B</w:t>
            </w:r>
          </w:p>
        </w:tc>
        <w:tc>
          <w:tcPr>
            <w:tcW w:w="850" w:type="dxa"/>
            <w:tcMar/>
          </w:tcPr>
          <w:p w:rsidR="19F62171" w:rsidP="094FF0F6" w:rsidRDefault="19F62171" w14:paraId="5EBD7745" w14:textId="334FFB0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USB audio</w:t>
            </w:r>
          </w:p>
        </w:tc>
        <w:tc>
          <w:tcPr>
            <w:tcW w:w="3650" w:type="dxa"/>
            <w:tcMar/>
          </w:tcPr>
          <w:p w:rsidR="19F62171" w:rsidP="094FF0F6" w:rsidRDefault="19F62171" w14:paraId="75B2F8C3" w14:textId="2C2DE1D2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USB 2.0 High-Speed audio with XMOS’s free sw_usb_audio reference firmware, up to 384 kHz; core 0.855–0.945 V, 3.3 V I/O; ~300 mA typical; 0–70 °C commercial grade; boots from external QSPI flash</w:t>
            </w:r>
          </w:p>
        </w:tc>
        <w:tc>
          <w:tcPr>
            <w:tcW w:w="1300" w:type="dxa"/>
            <w:tcMar/>
          </w:tcPr>
          <w:p w:rsidR="19F62171" w:rsidP="094FF0F6" w:rsidRDefault="19F62171" w14:paraId="2132D68C" w14:textId="250BC89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60-pin QFN, 7 × 7 mm, 0.4 mm pitch; leadless, X-ray fee</w:t>
            </w:r>
          </w:p>
        </w:tc>
        <w:tc>
          <w:tcPr>
            <w:tcW w:w="800" w:type="dxa"/>
            <w:tcMar/>
          </w:tcPr>
          <w:p w:rsidR="19F62171" w:rsidP="094FF0F6" w:rsidRDefault="19F62171" w14:paraId="56ADDED2" w14:textId="1DE9AF5A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US$9.21</w:t>
            </w:r>
          </w:p>
        </w:tc>
        <w:tc>
          <w:tcPr>
            <w:tcW w:w="1840" w:type="dxa"/>
            <w:tcMar/>
          </w:tcPr>
          <w:p w:rsidR="19F62171" w:rsidP="094FF0F6" w:rsidRDefault="19F62171" w14:paraId="634EF34F" w14:textId="16C7961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Digi-Key</w:t>
            </w:r>
          </w:p>
        </w:tc>
      </w:tr>
      <w:tr w:rsidR="19F62171" w:rsidTr="094FF0F6" w14:paraId="3A20A19B">
        <w:tc>
          <w:tcPr>
            <w:tcW w:w="1300" w:type="dxa"/>
            <w:tcMar/>
          </w:tcPr>
          <w:p w:rsidR="19F62171" w:rsidP="094FF0F6" w:rsidRDefault="19F62171" w14:paraId="1ABE7DB2" w14:textId="2DDCF693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AKM AK4493SEQ</w:t>
            </w:r>
          </w:p>
        </w:tc>
        <w:tc>
          <w:tcPr>
            <w:tcW w:w="850" w:type="dxa"/>
            <w:tcMar/>
          </w:tcPr>
          <w:p w:rsidR="19F62171" w:rsidP="094FF0F6" w:rsidRDefault="19F62171" w14:paraId="18F2F8BC" w14:textId="26BADD5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DAC</w:t>
            </w:r>
          </w:p>
        </w:tc>
        <w:tc>
          <w:tcPr>
            <w:tcW w:w="3650" w:type="dxa"/>
            <w:tcMar/>
          </w:tcPr>
          <w:p w:rsidR="19F62171" w:rsidP="094FF0F6" w:rsidRDefault="19F62171" w14:paraId="3EE0BC60" w14:textId="1F98C41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32-bit stereo; PCM up to 768 kHz, DSD512; S/N 123 dB (2 Vrms), 125 dB (2.7 Vrms), 128 dB (mono mode); THD+N −115 dB (2 Vrms), −110 dB (2.7 Vrms); differential voltage output; supplies VDDL/R 4.75–5.25 V, TVDD/AVDD 3.0–3.6 V; I²C, 3-wire or pin control</w:t>
            </w:r>
          </w:p>
        </w:tc>
        <w:tc>
          <w:tcPr>
            <w:tcW w:w="1300" w:type="dxa"/>
            <w:tcMar/>
          </w:tcPr>
          <w:p w:rsidR="19F62171" w:rsidP="094FF0F6" w:rsidRDefault="19F62171" w14:paraId="7383398D" w14:textId="1876AAD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48-pin LQFP, 7 × 7 mm; leaded, no X-ray fee</w:t>
            </w:r>
          </w:p>
        </w:tc>
        <w:tc>
          <w:tcPr>
            <w:tcW w:w="800" w:type="dxa"/>
            <w:tcMar/>
          </w:tcPr>
          <w:p w:rsidR="19F62171" w:rsidP="094FF0F6" w:rsidRDefault="19F62171" w14:paraId="3D8080C0" w14:textId="115491A3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US$6.08</w:t>
            </w:r>
          </w:p>
        </w:tc>
        <w:tc>
          <w:tcPr>
            <w:tcW w:w="1840" w:type="dxa"/>
            <w:tcMar/>
          </w:tcPr>
          <w:p w:rsidR="19F62171" w:rsidP="094FF0F6" w:rsidRDefault="19F62171" w14:paraId="795AB630" w14:textId="0A32786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Mouser: 2,824 in stock, 24-week factory lead time (Sept 2026). LCSC lists AK4493SEQ-L; to be confirmed</w:t>
            </w:r>
          </w:p>
        </w:tc>
      </w:tr>
      <w:tr w:rsidR="19F62171" w:rsidTr="094FF0F6" w14:paraId="2C449062">
        <w:tc>
          <w:tcPr>
            <w:tcW w:w="1300" w:type="dxa"/>
            <w:tcMar/>
          </w:tcPr>
          <w:p w:rsidR="19F62171" w:rsidP="094FF0F6" w:rsidRDefault="19F62171" w14:paraId="76ED5FB4" w14:textId="2147D8DC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TI OPA1622 (×4 in Variant B, ×2 in Variant A)</w:t>
            </w:r>
          </w:p>
        </w:tc>
        <w:tc>
          <w:tcPr>
            <w:tcW w:w="850" w:type="dxa"/>
            <w:tcMar/>
          </w:tcPr>
          <w:p w:rsidR="19F62171" w:rsidP="094FF0F6" w:rsidRDefault="19F62171" w14:paraId="45C870CE" w14:textId="1A25BFA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Output stage</w:t>
            </w:r>
          </w:p>
        </w:tc>
        <w:tc>
          <w:tcPr>
            <w:tcW w:w="3650" w:type="dxa"/>
            <w:tcMar/>
          </w:tcPr>
          <w:p w:rsidR="19F62171" w:rsidP="094FF0F6" w:rsidRDefault="19F62171" w14:paraId="2FC0074C" w14:textId="1303A66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Dual op-amp; ±2 V to ±18 V supply; output current +145 mA / −130 mA; THD+N −119 dB at 142 mW into 32 Ω; shutdown pin</w:t>
            </w:r>
          </w:p>
        </w:tc>
        <w:tc>
          <w:tcPr>
            <w:tcW w:w="1300" w:type="dxa"/>
            <w:tcMar/>
          </w:tcPr>
          <w:p w:rsidR="19F62171" w:rsidP="094FF0F6" w:rsidRDefault="19F62171" w14:paraId="50D3AE5A" w14:textId="0BE18D2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10-pin VSON, 3 × 3 mm, with thermal pad; leadless, X-ray fee</w:t>
            </w:r>
          </w:p>
        </w:tc>
        <w:tc>
          <w:tcPr>
            <w:tcW w:w="800" w:type="dxa"/>
            <w:tcMar/>
          </w:tcPr>
          <w:p w:rsidR="19F62171" w:rsidP="094FF0F6" w:rsidRDefault="19F62171" w14:paraId="4475DE42" w14:textId="04BF73EC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US$1.59</w:t>
            </w:r>
          </w:p>
        </w:tc>
        <w:tc>
          <w:tcPr>
            <w:tcW w:w="1840" w:type="dxa"/>
            <w:tcMar/>
          </w:tcPr>
          <w:p w:rsidR="19F62171" w:rsidP="094FF0F6" w:rsidRDefault="19F62171" w14:paraId="48FAF330" w14:textId="7D9D5AB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LCSC / TI</w:t>
            </w:r>
          </w:p>
        </w:tc>
      </w:tr>
      <w:tr w:rsidR="19F62171" w:rsidTr="094FF0F6" w14:paraId="3D22B8AD">
        <w:tc>
          <w:tcPr>
            <w:tcW w:w="1300" w:type="dxa"/>
            <w:tcMar/>
          </w:tcPr>
          <w:p w:rsidR="19F62171" w:rsidP="094FF0F6" w:rsidRDefault="19F62171" w14:paraId="23A13A49" w14:textId="14B2BB25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WCH CH224K</w:t>
            </w:r>
          </w:p>
        </w:tc>
        <w:tc>
          <w:tcPr>
            <w:tcW w:w="850" w:type="dxa"/>
            <w:tcMar/>
          </w:tcPr>
          <w:p w:rsidR="19F62171" w:rsidP="094FF0F6" w:rsidRDefault="19F62171" w14:paraId="72CF635B" w14:textId="0D90A1E9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USB PD sink</w:t>
            </w:r>
          </w:p>
        </w:tc>
        <w:tc>
          <w:tcPr>
            <w:tcW w:w="3650" w:type="dxa"/>
            <w:tcMar/>
          </w:tcPr>
          <w:p w:rsidR="19F62171" w:rsidP="094FF0F6" w:rsidRDefault="19F62171" w14:paraId="6F391380" w14:textId="066E88A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Requests 5/9/12/15/20 V. Supply: now listed at LCSC as discontinued with minimal stock; use a newer WCH PD sink chip (e.g., CH224Q), confirm at schematic stage</w:t>
            </w:r>
          </w:p>
        </w:tc>
        <w:tc>
          <w:tcPr>
            <w:tcW w:w="1300" w:type="dxa"/>
            <w:tcMar/>
          </w:tcPr>
          <w:p w:rsidR="19F62171" w:rsidP="094FF0F6" w:rsidRDefault="19F62171" w14:paraId="5F0B625C" w14:textId="7F4C6F71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JLCPCB Extended part</w:t>
            </w:r>
          </w:p>
        </w:tc>
        <w:tc>
          <w:tcPr>
            <w:tcW w:w="800" w:type="dxa"/>
            <w:tcMar/>
          </w:tcPr>
          <w:p w:rsidR="19F62171" w:rsidP="094FF0F6" w:rsidRDefault="19F62171" w14:paraId="3BF7EF78" w14:textId="782A5635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US$0.28</w:t>
            </w:r>
          </w:p>
        </w:tc>
        <w:tc>
          <w:tcPr>
            <w:tcW w:w="1840" w:type="dxa"/>
            <w:tcMar/>
          </w:tcPr>
          <w:p w:rsidR="19F62171" w:rsidP="094FF0F6" w:rsidRDefault="19F62171" w14:paraId="23239783" w14:textId="71083CF9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LCSC</w:t>
            </w:r>
          </w:p>
        </w:tc>
      </w:tr>
    </w:tbl>
    <w:p w:rsidR="19F62171" w:rsidP="19F62171" w:rsidRDefault="19F62171" w14:noSpellErr="1" w14:paraId="465C62DD" w14:textId="610FC748">
      <w:pPr>
        <w:pStyle w:val="Heading1"/>
      </w:pPr>
      <w:r w:rsidR="19F62171">
        <w:rPr/>
        <w:t>5. Headphone drive</w:t>
      </w:r>
    </w:p>
    <w:p w:rsidR="19F62171" w:rsidP="19F62171" w:rsidRDefault="19F62171" w14:noSpellErr="1" w14:paraId="484FB764" w14:textId="1E4B25BD">
      <w:pPr>
        <w:pStyle w:val="Heading2"/>
      </w:pPr>
      <w:r w:rsidR="19F62171">
        <w:rPr/>
        <w:t>5.1 Load requirements</w:t>
      </w:r>
    </w:p>
    <w:p w:rsidR="19F62171" w:rsidRDefault="19F62171" w14:paraId="2B9D9F16" w14:textId="3CC3C00B" w14:noSpellErr="1">
      <w:r w:rsidRPr="094FF0F6" w:rsidR="19F62171">
        <w:rPr>
          <w:sz w:val="20"/>
          <w:szCs w:val="20"/>
        </w:rPr>
        <w:t>Maker specifications set the drive requirement. Current, not voltage, is the limit: 129 mA peak sits right at the OPA1622’s −130 mA output-current rating, so the design limit is 100 mA peak per op-amp (about 75% of the rating).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1600"/>
        <w:gridCol w:w="1750"/>
        <w:gridCol w:w="1900"/>
        <w:gridCol w:w="1950"/>
        <w:gridCol w:w="1150"/>
        <w:gridCol w:w="1390"/>
      </w:tblGrid>
      <w:tr w:rsidR="19F62171" w:rsidTr="094FF0F6" w14:paraId="3C40073D">
        <w:trPr>
          <w:trHeight w:val="300"/>
        </w:trPr>
        <w:tc>
          <w:tcPr>
            <w:tcW w:w="1600" w:type="dxa"/>
            <w:tcMar/>
          </w:tcPr>
          <w:p w:rsidR="19F62171" w:rsidP="094FF0F6" w:rsidRDefault="19F62171" w14:paraId="24F9F60E" w14:textId="5F001AC7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Headphone</w:t>
            </w:r>
          </w:p>
        </w:tc>
        <w:tc>
          <w:tcPr>
            <w:tcW w:w="1750" w:type="dxa"/>
            <w:tcMar/>
          </w:tcPr>
          <w:p w:rsidR="19F62171" w:rsidP="094FF0F6" w:rsidRDefault="19F62171" w14:paraId="2257EB4A" w14:textId="57DE018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Impedance, sensitivity</w:t>
            </w:r>
          </w:p>
        </w:tc>
        <w:tc>
          <w:tcPr>
            <w:tcW w:w="1900" w:type="dxa"/>
            <w:tcMar/>
          </w:tcPr>
          <w:p w:rsidR="19F62171" w:rsidP="094FF0F6" w:rsidRDefault="19F62171" w14:paraId="68141C91" w14:textId="50BBE84F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Design point</w:t>
            </w:r>
          </w:p>
        </w:tc>
        <w:tc>
          <w:tcPr>
            <w:tcW w:w="1950" w:type="dxa"/>
            <w:tcMar/>
          </w:tcPr>
          <w:p w:rsidR="19F62171" w:rsidP="094FF0F6" w:rsidRDefault="19F62171" w14:paraId="59738D84" w14:textId="4999CF13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Voltage</w:t>
            </w:r>
          </w:p>
        </w:tc>
        <w:tc>
          <w:tcPr>
            <w:tcW w:w="1150" w:type="dxa"/>
            <w:tcMar/>
          </w:tcPr>
          <w:p w:rsidR="19F62171" w:rsidP="094FF0F6" w:rsidRDefault="19F62171" w14:paraId="5CBBAC65" w14:textId="4277B5D7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Peak current</w:t>
            </w:r>
          </w:p>
        </w:tc>
        <w:tc>
          <w:tcPr>
            <w:tcW w:w="1390" w:type="dxa"/>
            <w:tcMar/>
          </w:tcPr>
          <w:p w:rsidR="19F62171" w:rsidP="094FF0F6" w:rsidRDefault="19F62171" w14:paraId="497E55D8" w14:textId="3B559C9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Result</w:t>
            </w:r>
          </w:p>
        </w:tc>
      </w:tr>
      <w:tr w:rsidR="19F62171" w:rsidTr="094FF0F6" w14:paraId="6BD498D9">
        <w:tc>
          <w:tcPr>
            <w:tcW w:w="1600" w:type="dxa"/>
            <w:tcMar/>
          </w:tcPr>
          <w:p w:rsidR="19F62171" w:rsidP="094FF0F6" w:rsidRDefault="19F62171" w14:paraId="4B350D42" w14:textId="526AFD10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AKG K1000</w:t>
            </w:r>
          </w:p>
        </w:tc>
        <w:tc>
          <w:tcPr>
            <w:tcW w:w="1750" w:type="dxa"/>
            <w:tcMar/>
          </w:tcPr>
          <w:p w:rsidR="19F62171" w:rsidP="094FF0F6" w:rsidRDefault="19F62171" w14:paraId="15F14363" w14:textId="4B48E3D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120 Ω, 74 dB/mW</w:t>
            </w:r>
          </w:p>
        </w:tc>
        <w:tc>
          <w:tcPr>
            <w:tcW w:w="1900" w:type="dxa"/>
            <w:tcMar/>
          </w:tcPr>
          <w:p w:rsidR="19F62171" w:rsidP="094FF0F6" w:rsidRDefault="19F62171" w14:paraId="7FD33FDC" w14:textId="4426CA9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Rated 1 W</w:t>
            </w:r>
          </w:p>
        </w:tc>
        <w:tc>
          <w:tcPr>
            <w:tcW w:w="1950" w:type="dxa"/>
            <w:tcMar/>
          </w:tcPr>
          <w:p w:rsidR="19F62171" w:rsidP="094FF0F6" w:rsidRDefault="19F62171" w14:paraId="5A14CF4D" w14:textId="3D04B15C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10.95 Vrms, 15.5 V peak</w:t>
            </w:r>
          </w:p>
        </w:tc>
        <w:tc>
          <w:tcPr>
            <w:tcW w:w="1150" w:type="dxa"/>
            <w:tcMar/>
          </w:tcPr>
          <w:p w:rsidR="19F62171" w:rsidP="094FF0F6" w:rsidRDefault="19F62171" w14:paraId="130E3343" w14:textId="35E2982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129 mA</w:t>
            </w:r>
          </w:p>
        </w:tc>
        <w:tc>
          <w:tcPr>
            <w:tcW w:w="1390" w:type="dxa"/>
            <w:tcMar/>
          </w:tcPr>
          <w:p w:rsidR="19F62171" w:rsidP="094FF0F6" w:rsidRDefault="19F62171" w14:paraId="4697BB5E" w14:textId="2EC07EE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≈ 104 dB SPL</w:t>
            </w:r>
          </w:p>
        </w:tc>
      </w:tr>
      <w:tr w:rsidR="19F62171" w:rsidTr="094FF0F6" w14:paraId="129CDF9F">
        <w:tc>
          <w:tcPr>
            <w:tcW w:w="1600" w:type="dxa"/>
            <w:tcMar/>
          </w:tcPr>
          <w:p w:rsidR="19F62171" w:rsidP="094FF0F6" w:rsidRDefault="19F62171" w14:paraId="110FC1D0" w14:textId="45D5DF5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HIFIMAN Susvara</w:t>
            </w:r>
          </w:p>
        </w:tc>
        <w:tc>
          <w:tcPr>
            <w:tcW w:w="1750" w:type="dxa"/>
            <w:tcMar/>
          </w:tcPr>
          <w:p w:rsidR="19F62171" w:rsidP="094FF0F6" w:rsidRDefault="19F62171" w14:paraId="5D574837" w14:textId="3EB3C61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60 Ω, 83 dB/mW</w:t>
            </w:r>
          </w:p>
        </w:tc>
        <w:tc>
          <w:tcPr>
            <w:tcW w:w="1900" w:type="dxa"/>
            <w:tcMar/>
          </w:tcPr>
          <w:p w:rsidR="19F62171" w:rsidP="094FF0F6" w:rsidRDefault="19F62171" w14:paraId="74CB1882" w14:textId="3791ACE1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0.5 W for 110 dB SPL peaks</w:t>
            </w:r>
          </w:p>
        </w:tc>
        <w:tc>
          <w:tcPr>
            <w:tcW w:w="1950" w:type="dxa"/>
            <w:tcMar/>
          </w:tcPr>
          <w:p w:rsidR="19F62171" w:rsidP="094FF0F6" w:rsidRDefault="19F62171" w14:paraId="3B1FBDDD" w14:textId="306F93A5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5.48 Vrms, 7.76 V peak</w:t>
            </w:r>
          </w:p>
        </w:tc>
        <w:tc>
          <w:tcPr>
            <w:tcW w:w="1150" w:type="dxa"/>
            <w:tcMar/>
          </w:tcPr>
          <w:p w:rsidR="19F62171" w:rsidP="094FF0F6" w:rsidRDefault="19F62171" w14:paraId="1C030A5B" w14:textId="294D7A69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129 mA</w:t>
            </w:r>
          </w:p>
        </w:tc>
        <w:tc>
          <w:tcPr>
            <w:tcW w:w="1390" w:type="dxa"/>
            <w:tcMar/>
          </w:tcPr>
          <w:p w:rsidR="19F62171" w:rsidP="094FF0F6" w:rsidRDefault="19F62171" w14:paraId="57D6A7F2" w14:textId="222B612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110 dB SPL peaks</w:t>
            </w:r>
          </w:p>
        </w:tc>
      </w:tr>
    </w:tbl>
    <w:p w:rsidR="19F62171" w:rsidP="19F62171" w:rsidRDefault="19F62171" w14:noSpellErr="1" w14:paraId="358EDE2E" w14:textId="2DBF813E">
      <w:pPr>
        <w:pStyle w:val="Heading2"/>
      </w:pPr>
      <w:r w:rsidR="19F62171">
        <w:rPr/>
        <w:t>5.2 Output-stage variants</w:t>
      </w:r>
    </w:p>
    <w:p w:rsidR="19F62171" w:rsidRDefault="19F62171" w14:paraId="598E7041" w14:textId="671EAECD" w14:noSpellErr="1">
      <w:r w:rsidRPr="094FF0F6" w:rsidR="19F62171">
        <w:rPr>
          <w:sz w:val="20"/>
          <w:szCs w:val="20"/>
        </w:rPr>
        <w:t>Maximum power per channel (balanced, high gain), limited by 100 mA per op-amp or by the high-gain full scale: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2500"/>
        <w:gridCol w:w="3570"/>
        <w:gridCol w:w="3670"/>
      </w:tblGrid>
      <w:tr w:rsidR="19F62171" w:rsidTr="094FF0F6" w14:paraId="7D4F309F">
        <w:trPr>
          <w:trHeight w:val="300"/>
        </w:trPr>
        <w:tc>
          <w:tcPr>
            <w:tcW w:w="2500" w:type="dxa"/>
            <w:tcMar/>
          </w:tcPr>
          <w:p w:rsidR="19F62171" w:rsidP="094FF0F6" w:rsidRDefault="19F62171" w14:paraId="64926106" w14:textId="4AE31D9C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Load</w:t>
            </w:r>
          </w:p>
        </w:tc>
        <w:tc>
          <w:tcPr>
            <w:tcW w:w="3570" w:type="dxa"/>
            <w:tcMar/>
          </w:tcPr>
          <w:p w:rsidR="19F62171" w:rsidP="094FF0F6" w:rsidRDefault="19F62171" w14:paraId="3BC7AE5A" w14:textId="43C10460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Variant A: 2 × OPA1622, 1 op-amp per leg</w:t>
            </w:r>
          </w:p>
        </w:tc>
        <w:tc>
          <w:tcPr>
            <w:tcW w:w="3670" w:type="dxa"/>
            <w:tcMar/>
          </w:tcPr>
          <w:p w:rsidR="19F62171" w:rsidP="094FF0F6" w:rsidRDefault="19F62171" w14:paraId="651439B6" w14:textId="3C9EEB24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Variant B: 4 × OPA1622, 2 paralleled per leg</w:t>
            </w:r>
          </w:p>
        </w:tc>
      </w:tr>
      <w:tr w:rsidR="19F62171" w:rsidTr="094FF0F6" w14:paraId="5CB3598D">
        <w:tc>
          <w:tcPr>
            <w:tcW w:w="2500" w:type="dxa"/>
            <w:tcMar/>
          </w:tcPr>
          <w:p w:rsidR="19F62171" w:rsidP="094FF0F6" w:rsidRDefault="19F62171" w14:paraId="19113FC1" w14:textId="53B44B9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AKG K1000 (120 Ω)</w:t>
            </w:r>
          </w:p>
        </w:tc>
        <w:tc>
          <w:tcPr>
            <w:tcW w:w="3570" w:type="dxa"/>
            <w:tcMar/>
          </w:tcPr>
          <w:p w:rsidR="19F62171" w:rsidP="094FF0F6" w:rsidRDefault="19F62171" w14:paraId="529668AA" w14:textId="4C92325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0.60 W → 101.8 dB SPL</w:t>
            </w:r>
          </w:p>
        </w:tc>
        <w:tc>
          <w:tcPr>
            <w:tcW w:w="3670" w:type="dxa"/>
            <w:tcMar/>
          </w:tcPr>
          <w:p w:rsidR="19F62171" w:rsidP="094FF0F6" w:rsidRDefault="19F62171" w14:paraId="6CE90616" w14:textId="45701921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1.00 W → 104.0 dB SPL (full rated power)</w:t>
            </w:r>
          </w:p>
        </w:tc>
      </w:tr>
      <w:tr w:rsidR="19F62171" w:rsidTr="094FF0F6" w14:paraId="6601E9F6">
        <w:tc>
          <w:tcPr>
            <w:tcW w:w="2500" w:type="dxa"/>
            <w:tcMar/>
          </w:tcPr>
          <w:p w:rsidR="19F62171" w:rsidP="094FF0F6" w:rsidRDefault="19F62171" w14:paraId="6B1C5BC8" w14:textId="5C857996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HIFIMAN Susvara (60 Ω)</w:t>
            </w:r>
          </w:p>
        </w:tc>
        <w:tc>
          <w:tcPr>
            <w:tcW w:w="3570" w:type="dxa"/>
            <w:tcMar/>
          </w:tcPr>
          <w:p w:rsidR="19F62171" w:rsidP="094FF0F6" w:rsidRDefault="19F62171" w14:paraId="2838148A" w14:textId="5563605A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0.30 W → 107.8 dB SPL</w:t>
            </w:r>
          </w:p>
        </w:tc>
        <w:tc>
          <w:tcPr>
            <w:tcW w:w="3670" w:type="dxa"/>
            <w:tcMar/>
          </w:tcPr>
          <w:p w:rsidR="19F62171" w:rsidP="094FF0F6" w:rsidRDefault="19F62171" w14:paraId="45E26E4D" w14:textId="4E41471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1.20 W → 113.8 dB SPL</w:t>
            </w:r>
          </w:p>
        </w:tc>
      </w:tr>
      <w:tr w:rsidR="19F62171" w:rsidTr="094FF0F6" w14:paraId="1075973F">
        <w:tc>
          <w:tcPr>
            <w:tcW w:w="2500" w:type="dxa"/>
            <w:tcMar/>
          </w:tcPr>
          <w:p w:rsidR="19F62171" w:rsidP="094FF0F6" w:rsidRDefault="19F62171" w14:paraId="1624991B" w14:textId="6556A793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300 Ω (voltage-limited by high-gain full scale)</w:t>
            </w:r>
          </w:p>
        </w:tc>
        <w:tc>
          <w:tcPr>
            <w:tcW w:w="3570" w:type="dxa"/>
            <w:tcMar/>
          </w:tcPr>
          <w:p w:rsidR="19F62171" w:rsidP="094FF0F6" w:rsidRDefault="19F62171" w14:paraId="738754C2" w14:textId="5E348E5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0.40 W</w:t>
            </w:r>
          </w:p>
        </w:tc>
        <w:tc>
          <w:tcPr>
            <w:tcW w:w="3670" w:type="dxa"/>
            <w:tcMar/>
          </w:tcPr>
          <w:p w:rsidR="19F62171" w:rsidP="094FF0F6" w:rsidRDefault="19F62171" w14:paraId="5EDCDFF8" w14:textId="5712751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0.40 W</w:t>
            </w:r>
          </w:p>
        </w:tc>
      </w:tr>
      <w:tr w:rsidR="19F62171" w:rsidTr="094FF0F6" w14:paraId="215EE052">
        <w:tc>
          <w:tcPr>
            <w:tcW w:w="2500" w:type="dxa"/>
            <w:tcMar/>
          </w:tcPr>
          <w:p w:rsidR="19F62171" w:rsidP="094FF0F6" w:rsidRDefault="19F62171" w14:paraId="23BD5135" w14:textId="6E27D590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32 Ω</w:t>
            </w:r>
          </w:p>
        </w:tc>
        <w:tc>
          <w:tcPr>
            <w:tcW w:w="3570" w:type="dxa"/>
            <w:tcMar/>
          </w:tcPr>
          <w:p w:rsidR="19F62171" w:rsidP="094FF0F6" w:rsidRDefault="19F62171" w14:paraId="56189A6A" w14:textId="6705BC5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0.16 W</w:t>
            </w:r>
          </w:p>
        </w:tc>
        <w:tc>
          <w:tcPr>
            <w:tcW w:w="3670" w:type="dxa"/>
            <w:tcMar/>
          </w:tcPr>
          <w:p w:rsidR="19F62171" w:rsidP="094FF0F6" w:rsidRDefault="19F62171" w14:paraId="663BC0CE" w14:textId="5FE3A31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0.64 W</w:t>
            </w:r>
          </w:p>
        </w:tc>
      </w:tr>
      <w:tr w:rsidR="19F62171" w:rsidTr="094FF0F6" w14:paraId="509F6D9B">
        <w:tc>
          <w:tcPr>
            <w:tcW w:w="2500" w:type="dxa"/>
            <w:tcMar/>
          </w:tcPr>
          <w:p w:rsidR="19F62171" w:rsidP="094FF0F6" w:rsidRDefault="19F62171" w14:paraId="1DF125CF" w14:textId="76F9038D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Decision</w:t>
            </w:r>
          </w:p>
        </w:tc>
        <w:tc>
          <w:tcPr>
            <w:tcW w:w="3570" w:type="dxa"/>
            <w:tcMar/>
          </w:tcPr>
          <w:p w:rsidR="19F62171" w:rsidP="094FF0F6" w:rsidRDefault="19F62171" w14:paraId="6FB61085" w14:textId="6FD6EA5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Do-not-fit option: the PCB has footprints for all 4 op-amps</w:t>
            </w:r>
          </w:p>
        </w:tc>
        <w:tc>
          <w:tcPr>
            <w:tcW w:w="3670" w:type="dxa"/>
            <w:tcMar/>
          </w:tcPr>
          <w:p w:rsidR="19F62171" w:rsidP="094FF0F6" w:rsidRDefault="19F62171" w14:paraId="1ABAF3A8" w14:textId="68B4D115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Baseline: meets both headphone goals</w:t>
            </w:r>
          </w:p>
        </w:tc>
      </w:tr>
    </w:tbl>
    <w:p w:rsidR="19F62171" w:rsidP="19F62171" w:rsidRDefault="19F62171" w14:noSpellErr="1" w14:paraId="3FB1A206" w14:textId="478C9D2C">
      <w:pPr>
        <w:pStyle w:val="Heading2"/>
      </w:pPr>
      <w:r w:rsidR="19F62171">
        <w:rPr/>
        <w:t>5.3 Power, thermal and protection</w:t>
      </w:r>
    </w:p>
    <w:p w:rsidR="19F62171" w:rsidRDefault="19F62171" w14:paraId="55868C2A" w14:textId="6678998B" w14:noSpellErr="1">
      <w:r w:rsidRPr="094FF0F6" w:rsidR="19F62171">
        <w:rPr>
          <w:sz w:val="20"/>
          <w:szCs w:val="20"/>
        </w:rPr>
        <w:t>Driving the K1000 at 1 W on both channels draws ≈ 3.9 W from the ±12 V rails (≈ 164 mA average per rail). Variant A would dissipate ≈ 1 W per OPA1622; Variant B spreads this over four chips (≈ 0.5 W each). Each thermal pad gets a copper pour and a thermal-via array.</w:t>
      </w:r>
    </w:p>
    <w:p w:rsidR="19F62171" w:rsidRDefault="19F62171" w14:paraId="63197C3E" w14:textId="74821B66" w14:noSpellErr="1">
      <w:r w:rsidRPr="094FF0F6" w:rsidR="19F62171">
        <w:rPr>
          <w:sz w:val="20"/>
          <w:szCs w:val="20"/>
        </w:rPr>
        <w:t>Protection is required, because these headphones are expensive and hard to replace: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2150"/>
        <w:gridCol w:w="4400"/>
        <w:gridCol w:w="3190"/>
      </w:tblGrid>
      <w:tr w:rsidR="19F62171" w:rsidTr="094FF0F6" w14:paraId="757E086C">
        <w:trPr>
          <w:trHeight w:val="300"/>
        </w:trPr>
        <w:tc>
          <w:tcPr>
            <w:tcW w:w="2150" w:type="dxa"/>
            <w:tcMar/>
          </w:tcPr>
          <w:p w:rsidR="19F62171" w:rsidP="094FF0F6" w:rsidRDefault="19F62171" w14:paraId="53E6E3D5" w14:textId="6C12FA97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Function</w:t>
            </w:r>
          </w:p>
        </w:tc>
        <w:tc>
          <w:tcPr>
            <w:tcW w:w="4400" w:type="dxa"/>
            <w:tcMar/>
          </w:tcPr>
          <w:p w:rsidR="19F62171" w:rsidP="094FF0F6" w:rsidRDefault="19F62171" w14:paraId="3700E280" w14:textId="64F0E15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Implementation</w:t>
            </w:r>
          </w:p>
        </w:tc>
        <w:tc>
          <w:tcPr>
            <w:tcW w:w="3190" w:type="dxa"/>
            <w:tcMar/>
          </w:tcPr>
          <w:p w:rsidR="19F62171" w:rsidP="094FF0F6" w:rsidRDefault="19F62171" w14:paraId="5644BF4D" w14:textId="5DCEC81F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Requirement</w:t>
            </w:r>
          </w:p>
        </w:tc>
      </w:tr>
      <w:tr w:rsidR="19F62171" w:rsidTr="094FF0F6" w14:paraId="659AAED1">
        <w:tc>
          <w:tcPr>
            <w:tcW w:w="2150" w:type="dxa"/>
            <w:tcMar/>
          </w:tcPr>
          <w:p w:rsidR="19F62171" w:rsidP="094FF0F6" w:rsidRDefault="19F62171" w14:paraId="2FAFDB49" w14:textId="74E42894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Power-on delay</w:t>
            </w:r>
          </w:p>
        </w:tc>
        <w:tc>
          <w:tcPr>
            <w:tcW w:w="4400" w:type="dxa"/>
            <w:tcMar/>
          </w:tcPr>
          <w:p w:rsidR="19F62171" w:rsidP="094FF0F6" w:rsidRDefault="19F62171" w14:paraId="4FC27943" w14:textId="6DC20F5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Relays on all 4 output legs, driven by the protection chip</w:t>
            </w:r>
          </w:p>
        </w:tc>
        <w:tc>
          <w:tcPr>
            <w:tcW w:w="3190" w:type="dxa"/>
            <w:tcMar/>
          </w:tcPr>
          <w:p w:rsidR="19F62171" w:rsidP="094FF0F6" w:rsidRDefault="19F62171" w14:paraId="559659EF" w14:textId="669FF61C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Close 2–3 s after power is good</w:t>
            </w:r>
          </w:p>
        </w:tc>
      </w:tr>
      <w:tr w:rsidR="19F62171" w:rsidTr="094FF0F6" w14:paraId="3C734480">
        <w:tc>
          <w:tcPr>
            <w:tcW w:w="2150" w:type="dxa"/>
            <w:tcMar/>
          </w:tcPr>
          <w:p w:rsidR="19F62171" w:rsidP="094FF0F6" w:rsidRDefault="19F62171" w14:paraId="560E31E2" w14:textId="7DB5569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DC-offset detect</w:t>
            </w:r>
          </w:p>
        </w:tc>
        <w:tc>
          <w:tcPr>
            <w:tcW w:w="4400" w:type="dxa"/>
            <w:tcMar/>
          </w:tcPr>
          <w:p w:rsidR="19F62171" w:rsidP="094FF0F6" w:rsidRDefault="19F62171" w14:paraId="5B1F21F5" w14:textId="76933D55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Protection chip opens the relays on a DC fault</w:t>
            </w:r>
          </w:p>
        </w:tc>
        <w:tc>
          <w:tcPr>
            <w:tcW w:w="3190" w:type="dxa"/>
            <w:tcMar/>
          </w:tcPr>
          <w:p w:rsidR="19F62171" w:rsidP="094FF0F6" w:rsidRDefault="19F62171" w14:paraId="25FCFD3A" w14:textId="6F712419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Open within 100 ms on output DC &gt; ±1 V</w:t>
            </w:r>
          </w:p>
        </w:tc>
      </w:tr>
      <w:tr w:rsidR="19F62171" w:rsidTr="094FF0F6" w14:paraId="5C70958E">
        <w:tc>
          <w:tcPr>
            <w:tcW w:w="2150" w:type="dxa"/>
            <w:tcMar/>
          </w:tcPr>
          <w:p w:rsidR="19F62171" w:rsidP="094FF0F6" w:rsidRDefault="19F62171" w14:paraId="4D01055B" w14:textId="0686848E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Power-loss disconnect</w:t>
            </w:r>
          </w:p>
        </w:tc>
        <w:tc>
          <w:tcPr>
            <w:tcW w:w="4400" w:type="dxa"/>
            <w:tcMar/>
          </w:tcPr>
          <w:p w:rsidR="19F62171" w:rsidP="094FF0F6" w:rsidRDefault="19F62171" w14:paraId="4CF3CC3C" w14:textId="7F646B52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Protection chip opens the relays when power is lost</w:t>
            </w:r>
          </w:p>
        </w:tc>
        <w:tc>
          <w:tcPr>
            <w:tcW w:w="3190" w:type="dxa"/>
            <w:tcMar/>
          </w:tcPr>
          <w:p w:rsidR="19F62171" w:rsidP="094FF0F6" w:rsidRDefault="19F62171" w14:paraId="6B505A93" w14:textId="7842521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Open within 100 ms on loss of power</w:t>
            </w:r>
          </w:p>
        </w:tc>
      </w:tr>
      <w:tr w:rsidR="19F62171" w:rsidTr="094FF0F6" w14:paraId="24E88964">
        <w:tc>
          <w:tcPr>
            <w:tcW w:w="2150" w:type="dxa"/>
            <w:tcMar/>
          </w:tcPr>
          <w:p w:rsidR="19F62171" w:rsidP="094FF0F6" w:rsidRDefault="19F62171" w14:paraId="43A73DE7" w14:textId="0F57B28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Pop-free start and stop</w:t>
            </w:r>
          </w:p>
        </w:tc>
        <w:tc>
          <w:tcPr>
            <w:tcW w:w="4400" w:type="dxa"/>
            <w:tcMar/>
          </w:tcPr>
          <w:p w:rsidR="19F62171" w:rsidP="094FF0F6" w:rsidRDefault="19F62171" w14:paraId="74A50AB6" w14:textId="0835994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OPA1622 shutdown pin</w:t>
            </w:r>
          </w:p>
        </w:tc>
        <w:tc>
          <w:tcPr>
            <w:tcW w:w="3190" w:type="dxa"/>
            <w:tcMar/>
          </w:tcPr>
          <w:p w:rsidR="19F62171" w:rsidP="094FF0F6" w:rsidRDefault="19F62171" w14:paraId="796D02AA" w14:textId="0113801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</w:tr>
      <w:tr w:rsidR="19F62171" w:rsidTr="094FF0F6" w14:paraId="23E5E0B1">
        <w:tc>
          <w:tcPr>
            <w:tcW w:w="2150" w:type="dxa"/>
            <w:tcMar/>
          </w:tcPr>
          <w:p w:rsidR="19F62171" w:rsidP="094FF0F6" w:rsidRDefault="19F62171" w14:paraId="560314D1" w14:textId="1828E088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Bring-up safety</w:t>
            </w:r>
          </w:p>
        </w:tc>
        <w:tc>
          <w:tcPr>
            <w:tcW w:w="4400" w:type="dxa"/>
            <w:tcMar/>
          </w:tcPr>
          <w:p w:rsidR="19F62171" w:rsidP="094FF0F6" w:rsidRDefault="19F62171" w14:paraId="37CBCD52" w14:textId="1106C74C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60 Ω and 120 Ω dummy resistors only</w:t>
            </w:r>
          </w:p>
        </w:tc>
        <w:tc>
          <w:tcPr>
            <w:tcW w:w="3190" w:type="dxa"/>
            <w:tcMar/>
          </w:tcPr>
          <w:p w:rsidR="19F62171" w:rsidP="094FF0F6" w:rsidRDefault="19F62171" w14:paraId="3AA0A0B1" w14:textId="09E4AE1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Never test on real headphones</w:t>
            </w:r>
          </w:p>
        </w:tc>
      </w:tr>
    </w:tbl>
    <w:p w:rsidR="19F62171" w:rsidP="19F62171" w:rsidRDefault="19F62171" w14:noSpellErr="1" w14:paraId="707637FF" w14:textId="7B508270">
      <w:pPr>
        <w:pStyle w:val="Heading1"/>
      </w:pPr>
      <w:r w:rsidR="19F62171">
        <w:rPr/>
        <w:t>6. Cost budget</w:t>
      </w:r>
    </w:p>
    <w:p w:rsidR="19F62171" w:rsidRDefault="19F62171" w14:paraId="100AEF10" w14:textId="7818CDA4" w14:noSpellErr="1">
      <w:r w:rsidRPr="094FF0F6" w:rsidR="19F62171">
        <w:rPr>
          <w:sz w:val="20"/>
          <w:szCs w:val="20"/>
        </w:rPr>
        <w:t>Planning allocations at 100 units, 31.7 NTD per USD. Main-chip prices are distributor quotes; other lines are estimates, to be replaced by live LCSC prices in the automated BOM check.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7240"/>
        <w:gridCol w:w="2500"/>
      </w:tblGrid>
      <w:tr w:rsidR="19F62171" w:rsidTr="094FF0F6" w14:paraId="3C2AD5DF">
        <w:trPr>
          <w:trHeight w:val="300"/>
        </w:trPr>
        <w:tc>
          <w:tcPr>
            <w:tcW w:w="7240" w:type="dxa"/>
            <w:tcMar/>
          </w:tcPr>
          <w:p w:rsidR="19F62171" w:rsidP="094FF0F6" w:rsidRDefault="19F62171" w14:paraId="1D447D4E" w14:textId="329C6A7F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Item</w:t>
            </w:r>
          </w:p>
        </w:tc>
        <w:tc>
          <w:tcPr>
            <w:tcW w:w="2500" w:type="dxa"/>
            <w:tcMar/>
          </w:tcPr>
          <w:p w:rsidR="19F62171" w:rsidP="094FF0F6" w:rsidRDefault="19F62171" w14:paraId="4997FDC9" w14:textId="2B7A5143" w14:noSpellErr="1">
            <w:pPr>
              <w:pStyle w:val="Caption"/>
              <w:jc w:val="right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NTD per board</w:t>
            </w:r>
          </w:p>
        </w:tc>
      </w:tr>
      <w:tr w:rsidR="19F62171" w:rsidTr="094FF0F6" w14:paraId="71179BDE">
        <w:tc>
          <w:tcPr>
            <w:tcW w:w="7240" w:type="dxa"/>
            <w:tcMar/>
          </w:tcPr>
          <w:p w:rsidR="19F62171" w:rsidP="094FF0F6" w:rsidRDefault="19F62171" w14:paraId="661730BB" w14:textId="428FB1B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Main chips, Variant B: XU316 + AK4493SEQ + 4 × OPA1622</w:t>
            </w:r>
          </w:p>
        </w:tc>
        <w:tc>
          <w:tcPr>
            <w:tcW w:w="2500" w:type="dxa"/>
            <w:tcMar/>
          </w:tcPr>
          <w:p w:rsidR="19F62171" w:rsidP="094FF0F6" w:rsidRDefault="19F62171" w14:paraId="56F30EC4" w14:textId="3B6D987C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686</w:t>
            </w:r>
          </w:p>
        </w:tc>
      </w:tr>
      <w:tr w:rsidR="19F62171" w:rsidTr="094FF0F6" w14:paraId="683C7611">
        <w:tc>
          <w:tcPr>
            <w:tcW w:w="7240" w:type="dxa"/>
            <w:tcMar/>
          </w:tcPr>
          <w:p w:rsidR="19F62171" w:rsidP="094FF0F6" w:rsidRDefault="19F62171" w14:paraId="4490841B" w14:textId="5282F8F1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QSPI boot flash</w:t>
            </w:r>
          </w:p>
        </w:tc>
        <w:tc>
          <w:tcPr>
            <w:tcW w:w="2500" w:type="dxa"/>
            <w:tcMar/>
          </w:tcPr>
          <w:p w:rsidR="19F62171" w:rsidP="094FF0F6" w:rsidRDefault="19F62171" w14:paraId="2AA1B9AF" w14:textId="4B60DFB5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8</w:t>
            </w:r>
          </w:p>
        </w:tc>
      </w:tr>
      <w:tr w:rsidR="19F62171" w:rsidTr="094FF0F6" w14:paraId="10D237B6">
        <w:tc>
          <w:tcPr>
            <w:tcW w:w="7240" w:type="dxa"/>
            <w:tcMar/>
          </w:tcPr>
          <w:p w:rsidR="19F62171" w:rsidP="094FF0F6" w:rsidRDefault="19F62171" w14:paraId="308F4D0B" w14:textId="6276402A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24 MHz crystal</w:t>
            </w:r>
          </w:p>
        </w:tc>
        <w:tc>
          <w:tcPr>
            <w:tcW w:w="2500" w:type="dxa"/>
            <w:tcMar/>
          </w:tcPr>
          <w:p w:rsidR="19F62171" w:rsidP="094FF0F6" w:rsidRDefault="19F62171" w14:paraId="546247F0" w14:textId="5B5426EE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3</w:t>
            </w:r>
          </w:p>
        </w:tc>
      </w:tr>
      <w:tr w:rsidR="19F62171" w:rsidTr="094FF0F6" w14:paraId="6712EE98">
        <w:tc>
          <w:tcPr>
            <w:tcW w:w="7240" w:type="dxa"/>
            <w:tcMar/>
          </w:tcPr>
          <w:p w:rsidR="19F62171" w:rsidP="094FF0F6" w:rsidRDefault="19F62171" w14:paraId="39DF72C7" w14:textId="7269876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2 audio oscillators</w:t>
            </w:r>
          </w:p>
        </w:tc>
        <w:tc>
          <w:tcPr>
            <w:tcW w:w="2500" w:type="dxa"/>
            <w:tcMar/>
          </w:tcPr>
          <w:p w:rsidR="19F62171" w:rsidP="094FF0F6" w:rsidRDefault="19F62171" w14:paraId="7798BC1E" w14:textId="6B476E27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38</w:t>
            </w:r>
          </w:p>
        </w:tc>
      </w:tr>
      <w:tr w:rsidR="19F62171" w:rsidTr="094FF0F6" w14:paraId="5885680E">
        <w:tc>
          <w:tcPr>
            <w:tcW w:w="7240" w:type="dxa"/>
            <w:tcMar/>
          </w:tcPr>
          <w:p w:rsidR="19F62171" w:rsidP="094FF0F6" w:rsidRDefault="19F62171" w14:paraId="3CD070B7" w14:textId="025CCE9C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USB PD sink chip</w:t>
            </w:r>
          </w:p>
        </w:tc>
        <w:tc>
          <w:tcPr>
            <w:tcW w:w="2500" w:type="dxa"/>
            <w:tcMar/>
          </w:tcPr>
          <w:p w:rsidR="19F62171" w:rsidP="094FF0F6" w:rsidRDefault="19F62171" w14:paraId="38856E8E" w14:textId="7B3AB560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10</w:t>
            </w:r>
          </w:p>
        </w:tc>
      </w:tr>
      <w:tr w:rsidR="19F62171" w:rsidTr="094FF0F6" w14:paraId="38F88D74">
        <w:tc>
          <w:tcPr>
            <w:tcW w:w="7240" w:type="dxa"/>
            <w:tcMar/>
          </w:tcPr>
          <w:p w:rsidR="19F62171" w:rsidP="094FF0F6" w:rsidRDefault="19F62171" w14:paraId="61D837CC" w14:textId="125015D5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Digital power (0.9 V buck + 3.3 V LDO)</w:t>
            </w:r>
          </w:p>
        </w:tc>
        <w:tc>
          <w:tcPr>
            <w:tcW w:w="2500" w:type="dxa"/>
            <w:tcMar/>
          </w:tcPr>
          <w:p w:rsidR="19F62171" w:rsidP="094FF0F6" w:rsidRDefault="19F62171" w14:paraId="7C47E27B" w14:textId="0B2DFC99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13</w:t>
            </w:r>
          </w:p>
        </w:tc>
      </w:tr>
      <w:tr w:rsidR="19F62171" w:rsidTr="094FF0F6" w14:paraId="51A1CF0D">
        <w:tc>
          <w:tcPr>
            <w:tcW w:w="7240" w:type="dxa"/>
            <w:tcMar/>
          </w:tcPr>
          <w:p w:rsidR="19F62171" w:rsidP="094FF0F6" w:rsidRDefault="19F62171" w14:paraId="2192216E" w14:textId="22435D0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Analog power (inverting converter, ±12 V and 5 V regulators)</w:t>
            </w:r>
          </w:p>
        </w:tc>
        <w:tc>
          <w:tcPr>
            <w:tcW w:w="2500" w:type="dxa"/>
            <w:tcMar/>
          </w:tcPr>
          <w:p w:rsidR="19F62171" w:rsidP="094FF0F6" w:rsidRDefault="19F62171" w14:paraId="4D69521C" w14:textId="1B2143D2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38</w:t>
            </w:r>
          </w:p>
        </w:tc>
      </w:tr>
      <w:tr w:rsidR="19F62171" w:rsidTr="094FF0F6" w14:paraId="6DE0220D">
        <w:tc>
          <w:tcPr>
            <w:tcW w:w="7240" w:type="dxa"/>
            <w:tcMar/>
          </w:tcPr>
          <w:p w:rsidR="19F62171" w:rsidP="094FF0F6" w:rsidRDefault="19F62171" w14:paraId="2CF9D62E" w14:textId="3236A44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Headphone protection (protection chip + 2 relays)</w:t>
            </w:r>
          </w:p>
        </w:tc>
        <w:tc>
          <w:tcPr>
            <w:tcW w:w="2500" w:type="dxa"/>
            <w:tcMar/>
          </w:tcPr>
          <w:p w:rsidR="19F62171" w:rsidP="094FF0F6" w:rsidRDefault="19F62171" w14:paraId="5A9DD7C8" w14:textId="2B148B0B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44</w:t>
            </w:r>
          </w:p>
        </w:tc>
      </w:tr>
      <w:tr w:rsidR="19F62171" w:rsidTr="094FF0F6" w14:paraId="20309C3D">
        <w:tc>
          <w:tcPr>
            <w:tcW w:w="7240" w:type="dxa"/>
            <w:tcMar/>
          </w:tcPr>
          <w:p w:rsidR="19F62171" w:rsidP="094FF0F6" w:rsidRDefault="19F62171" w14:paraId="36DC7EE7" w14:textId="4229EB8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Connectors (2 × USB-C, 4.4 mm, 6.35 mm)</w:t>
            </w:r>
          </w:p>
        </w:tc>
        <w:tc>
          <w:tcPr>
            <w:tcW w:w="2500" w:type="dxa"/>
            <w:tcMar/>
          </w:tcPr>
          <w:p w:rsidR="19F62171" w:rsidP="094FF0F6" w:rsidRDefault="19F62171" w14:paraId="493AA155" w14:textId="3B07D244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51</w:t>
            </w:r>
          </w:p>
        </w:tc>
      </w:tr>
      <w:tr w:rsidR="19F62171" w:rsidTr="094FF0F6" w14:paraId="265D1BEE">
        <w:tc>
          <w:tcPr>
            <w:tcW w:w="7240" w:type="dxa"/>
            <w:tcMar/>
          </w:tcPr>
          <w:p w:rsidR="19F62171" w:rsidP="094FF0F6" w:rsidRDefault="19F62171" w14:paraId="647103BC" w14:textId="521D32B9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USB ESD protection</w:t>
            </w:r>
          </w:p>
        </w:tc>
        <w:tc>
          <w:tcPr>
            <w:tcW w:w="2500" w:type="dxa"/>
            <w:tcMar/>
          </w:tcPr>
          <w:p w:rsidR="19F62171" w:rsidP="094FF0F6" w:rsidRDefault="19F62171" w14:paraId="3C0370EC" w14:textId="4AFB197D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6</w:t>
            </w:r>
          </w:p>
        </w:tc>
      </w:tr>
      <w:tr w:rsidR="19F62171" w:rsidTr="094FF0F6" w14:paraId="7039C19D">
        <w:tc>
          <w:tcPr>
            <w:tcW w:w="7240" w:type="dxa"/>
            <w:tcMar/>
          </w:tcPr>
          <w:p w:rsidR="19F62171" w:rsidP="094FF0F6" w:rsidRDefault="19F62171" w14:paraId="10C668C0" w14:textId="621079F2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Passives (~120 parts)</w:t>
            </w:r>
          </w:p>
        </w:tc>
        <w:tc>
          <w:tcPr>
            <w:tcW w:w="2500" w:type="dxa"/>
            <w:tcMar/>
          </w:tcPr>
          <w:p w:rsidR="19F62171" w:rsidP="094FF0F6" w:rsidRDefault="19F62171" w14:paraId="7342B858" w14:textId="5AEE60B6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48</w:t>
            </w:r>
          </w:p>
        </w:tc>
      </w:tr>
      <w:tr w:rsidR="19F62171" w:rsidTr="094FF0F6" w14:paraId="5372A6E4">
        <w:tc>
          <w:tcPr>
            <w:tcW w:w="7240" w:type="dxa"/>
            <w:tcMar/>
          </w:tcPr>
          <w:p w:rsidR="19F62171" w:rsidP="094FF0F6" w:rsidRDefault="19F62171" w14:paraId="449A5DC9" w14:textId="7203C12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Gain switch and LEDs</w:t>
            </w:r>
          </w:p>
        </w:tc>
        <w:tc>
          <w:tcPr>
            <w:tcW w:w="2500" w:type="dxa"/>
            <w:tcMar/>
          </w:tcPr>
          <w:p w:rsidR="19F62171" w:rsidP="094FF0F6" w:rsidRDefault="19F62171" w14:paraId="306CDD84" w14:textId="6AE1A7EF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10</w:t>
            </w:r>
          </w:p>
        </w:tc>
      </w:tr>
      <w:tr w:rsidR="19F62171" w:rsidTr="094FF0F6" w14:paraId="604830D2">
        <w:tc>
          <w:tcPr>
            <w:tcW w:w="7240" w:type="dxa"/>
            <w:tcMar/>
          </w:tcPr>
          <w:p w:rsidR="19F62171" w:rsidP="094FF0F6" w:rsidRDefault="19F62171" w14:paraId="2D4B1104" w14:textId="01F7086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4-layer bare PCB</w:t>
            </w:r>
          </w:p>
        </w:tc>
        <w:tc>
          <w:tcPr>
            <w:tcW w:w="2500" w:type="dxa"/>
            <w:tcMar/>
          </w:tcPr>
          <w:p w:rsidR="19F62171" w:rsidP="094FF0F6" w:rsidRDefault="19F62171" w14:paraId="3599731C" w14:textId="7AD4EF28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25</w:t>
            </w:r>
          </w:p>
        </w:tc>
      </w:tr>
      <w:tr w:rsidR="19F62171" w:rsidTr="094FF0F6" w14:paraId="3A2ECA31">
        <w:tc>
          <w:tcPr>
            <w:tcW w:w="7240" w:type="dxa"/>
            <w:tcMar/>
          </w:tcPr>
          <w:p w:rsidR="19F62171" w:rsidP="094FF0F6" w:rsidRDefault="19F62171" w14:paraId="3C7D57D1" w14:textId="11EA4F9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JLCPCB assembly fees (amortised)</w:t>
            </w:r>
          </w:p>
        </w:tc>
        <w:tc>
          <w:tcPr>
            <w:tcW w:w="2500" w:type="dxa"/>
            <w:tcMar/>
          </w:tcPr>
          <w:p w:rsidR="19F62171" w:rsidP="094FF0F6" w:rsidRDefault="19F62171" w14:paraId="433BC39F" w14:textId="0AC83661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60</w:t>
            </w:r>
          </w:p>
        </w:tc>
      </w:tr>
      <w:tr w:rsidR="19F62171" w:rsidTr="094FF0F6" w14:paraId="489FEAF1">
        <w:tc>
          <w:tcPr>
            <w:tcW w:w="7240" w:type="dxa"/>
            <w:tcMar/>
          </w:tcPr>
          <w:p w:rsidR="19F62171" w:rsidP="094FF0F6" w:rsidRDefault="19F62171" w14:paraId="25D7353C" w14:textId="21DD96D6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Other items total (estimates)</w:t>
            </w:r>
          </w:p>
        </w:tc>
        <w:tc>
          <w:tcPr>
            <w:tcW w:w="2500" w:type="dxa"/>
            <w:tcMar/>
          </w:tcPr>
          <w:p w:rsidR="19F62171" w:rsidP="094FF0F6" w:rsidRDefault="19F62171" w14:paraId="5A7CC3EA" w14:textId="1ABB7D9A" w14:noSpellErr="1">
            <w:pPr>
              <w:pStyle w:val="Caption"/>
              <w:jc w:val="right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353</w:t>
            </w:r>
          </w:p>
        </w:tc>
      </w:tr>
      <w:tr w:rsidR="19F62171" w:rsidTr="094FF0F6" w14:paraId="31480750">
        <w:tc>
          <w:tcPr>
            <w:tcW w:w="7240" w:type="dxa"/>
            <w:tcMar/>
          </w:tcPr>
          <w:p w:rsidR="19F62171" w:rsidP="094FF0F6" w:rsidRDefault="19F62171" w14:paraId="2C6F8E27" w14:textId="31D0DE0F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Total, Variant B (≈ 4% over the 1,000 NTD target)</w:t>
            </w:r>
          </w:p>
        </w:tc>
        <w:tc>
          <w:tcPr>
            <w:tcW w:w="2500" w:type="dxa"/>
            <w:tcMar/>
          </w:tcPr>
          <w:p w:rsidR="19F62171" w:rsidP="094FF0F6" w:rsidRDefault="19F62171" w14:paraId="66943488" w14:textId="2AAEC4D3" w14:noSpellErr="1">
            <w:pPr>
              <w:pStyle w:val="Caption"/>
              <w:jc w:val="right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≈ 1,040</w:t>
            </w:r>
          </w:p>
        </w:tc>
      </w:tr>
      <w:tr w:rsidR="19F62171" w:rsidTr="094FF0F6" w14:paraId="4FB723C2">
        <w:tc>
          <w:tcPr>
            <w:tcW w:w="7240" w:type="dxa"/>
            <w:tcMar/>
          </w:tcPr>
          <w:p w:rsidR="19F62171" w:rsidP="094FF0F6" w:rsidRDefault="19F62171" w14:paraId="4D3499AC" w14:textId="41C42548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Total, Variant A (main chips 585 with 2 × OPA1622)</w:t>
            </w:r>
          </w:p>
        </w:tc>
        <w:tc>
          <w:tcPr>
            <w:tcW w:w="2500" w:type="dxa"/>
            <w:tcMar/>
          </w:tcPr>
          <w:p w:rsidR="19F62171" w:rsidP="094FF0F6" w:rsidRDefault="19F62171" w14:paraId="43F0F151" w14:textId="3AA20C0C" w14:noSpellErr="1">
            <w:pPr>
              <w:pStyle w:val="Caption"/>
              <w:jc w:val="right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≈ 939</w:t>
            </w:r>
          </w:p>
        </w:tc>
      </w:tr>
    </w:tbl>
    <w:p w:rsidR="19F62171" w:rsidRDefault="19F62171" w14:noSpellErr="1" w14:paraId="286EA887" w14:textId="49183D2F">
      <w:r w:rsidRPr="19F62171" w:rsidR="19F62171">
        <w:rPr>
          <w:i w:val="1"/>
          <w:iCs w:val="1"/>
          <w:color w:val="595959" w:themeColor="accent2" w:themeTint="FF" w:themeShade="FF"/>
          <w:sz w:val="18"/>
          <w:szCs w:val="18"/>
        </w:rPr>
        <w:t>Line items are rounded to whole NTD, so they do not add exactly to the subtotal. Excluded: enclosure, shipping and import tax.</w:t>
      </w:r>
    </w:p>
    <w:p w:rsidR="19F62171" w:rsidRDefault="19F62171" w14:paraId="7B29782F" w14:textId="74174378" w14:noSpellErr="1">
      <w:r w:rsidRPr="094FF0F6" w:rsidR="19F62171">
        <w:rPr>
          <w:sz w:val="20"/>
          <w:szCs w:val="20"/>
        </w:rPr>
        <w:t>Prototype note: 5 prototype boards with JLCPCB Economic PCBA cost ≈ 2,300 NTD in assembly fees alone (≈ 460 NTD per board), before parts, bare PCB and shipping. This assumes ~15 Extended part types and 3 leadless chips per board.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4300"/>
        <w:gridCol w:w="1600"/>
        <w:gridCol w:w="3840"/>
      </w:tblGrid>
      <w:tr w:rsidR="19F62171" w:rsidTr="094FF0F6" w14:paraId="15414E38">
        <w:trPr>
          <w:trHeight w:val="300"/>
        </w:trPr>
        <w:tc>
          <w:tcPr>
            <w:tcW w:w="4300" w:type="dxa"/>
            <w:tcMar/>
          </w:tcPr>
          <w:p w:rsidR="19F62171" w:rsidP="094FF0F6" w:rsidRDefault="19F62171" w14:paraId="2A68A3C7" w14:textId="7C1E3DB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Cost-down lever (to bring Variant B to ≤ 1,000 NTD)</w:t>
            </w:r>
          </w:p>
        </w:tc>
        <w:tc>
          <w:tcPr>
            <w:tcW w:w="1600" w:type="dxa"/>
            <w:tcMar/>
          </w:tcPr>
          <w:p w:rsidR="19F62171" w:rsidP="094FF0F6" w:rsidRDefault="19F62171" w14:paraId="2955F698" w14:textId="74FC2475" w14:noSpellErr="1">
            <w:pPr>
              <w:pStyle w:val="Caption"/>
              <w:jc w:val="right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Estimated saving</w:t>
            </w:r>
          </w:p>
        </w:tc>
        <w:tc>
          <w:tcPr>
            <w:tcW w:w="3840" w:type="dxa"/>
            <w:tcMar/>
          </w:tcPr>
          <w:p w:rsidR="19F62171" w:rsidP="094FF0F6" w:rsidRDefault="19F62171" w14:paraId="1035716F" w14:textId="6DDA0B3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Note</w:t>
            </w:r>
          </w:p>
        </w:tc>
      </w:tr>
      <w:tr w:rsidR="19F62171" w:rsidTr="094FF0F6" w14:paraId="5C00B666">
        <w:tc>
          <w:tcPr>
            <w:tcW w:w="4300" w:type="dxa"/>
            <w:tcMar/>
          </w:tcPr>
          <w:p w:rsidR="19F62171" w:rsidP="094FF0F6" w:rsidRDefault="19F62171" w14:paraId="1221BAF0" w14:textId="04EF6BA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Use the XU316’s internal application PLL for the audio clock instead of the two oscillators</w:t>
            </w:r>
          </w:p>
        </w:tc>
        <w:tc>
          <w:tcPr>
            <w:tcW w:w="1600" w:type="dxa"/>
            <w:tcMar/>
          </w:tcPr>
          <w:p w:rsidR="19F62171" w:rsidP="094FF0F6" w:rsidRDefault="19F62171" w14:paraId="645FEB93" w14:textId="7DCD5272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≈ 38 NTD</w:t>
            </w:r>
          </w:p>
        </w:tc>
        <w:tc>
          <w:tcPr>
            <w:tcW w:w="3840" w:type="dxa"/>
            <w:tcMar/>
          </w:tcPr>
          <w:p w:rsidR="19F62171" w:rsidP="094FF0F6" w:rsidRDefault="19F62171" w14:paraId="7EA5DAA5" w14:textId="76AB393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Measure the jitter impact, which is itself a good experiment</w:t>
            </w:r>
          </w:p>
        </w:tc>
      </w:tr>
      <w:tr w:rsidR="19F62171" w:rsidTr="094FF0F6" w14:paraId="5FE48BD3">
        <w:tc>
          <w:tcPr>
            <w:tcW w:w="4300" w:type="dxa"/>
            <w:tcMar/>
          </w:tcPr>
          <w:p w:rsidR="19F62171" w:rsidP="094FF0F6" w:rsidRDefault="19F62171" w14:paraId="5FB37BC5" w14:textId="0DC099A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Drop the 6.35 mm single-ended jack</w:t>
            </w:r>
          </w:p>
        </w:tc>
        <w:tc>
          <w:tcPr>
            <w:tcW w:w="1600" w:type="dxa"/>
            <w:tcMar/>
          </w:tcPr>
          <w:p w:rsidR="19F62171" w:rsidP="094FF0F6" w:rsidRDefault="19F62171" w14:paraId="1F639C90" w14:textId="069E806F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≈ 15 NTD</w:t>
            </w:r>
          </w:p>
        </w:tc>
        <w:tc>
          <w:tcPr>
            <w:tcW w:w="3840" w:type="dxa"/>
            <w:tcMar/>
          </w:tcPr>
          <w:p w:rsidR="19F62171" w:rsidP="094FF0F6" w:rsidRDefault="19F62171" w14:paraId="50CA5B04" w14:textId="7F7C673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—</w:t>
            </w:r>
          </w:p>
        </w:tc>
      </w:tr>
      <w:tr w:rsidR="19F62171" w:rsidTr="094FF0F6" w14:paraId="4A7DDB7C">
        <w:tc>
          <w:tcPr>
            <w:tcW w:w="4300" w:type="dxa"/>
            <w:tcMar/>
          </w:tcPr>
          <w:p w:rsidR="19F62171" w:rsidP="094FF0F6" w:rsidRDefault="19F62171" w14:paraId="28E80822" w14:textId="1691C7A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Replace JLCPCB Extended parts with Basic library parts wherever possible</w:t>
            </w:r>
          </w:p>
        </w:tc>
        <w:tc>
          <w:tcPr>
            <w:tcW w:w="1600" w:type="dxa"/>
            <w:tcMar/>
          </w:tcPr>
          <w:p w:rsidR="19F62171" w:rsidP="094FF0F6" w:rsidRDefault="19F62171" w14:paraId="72E107E1" w14:textId="0F6FAE6C" w14:noSpellErr="1">
            <w:pPr>
              <w:pStyle w:val="Caption"/>
              <w:jc w:val="right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Not yet quantified</w:t>
            </w:r>
          </w:p>
        </w:tc>
        <w:tc>
          <w:tcPr>
            <w:tcW w:w="3840" w:type="dxa"/>
            <w:tcMar/>
          </w:tcPr>
          <w:p w:rsidR="19F62171" w:rsidP="094FF0F6" w:rsidRDefault="19F62171" w14:paraId="30448F4B" w14:textId="084D953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Each unique Extended part type adds a US$3.07 loading fee (Section 7)</w:t>
            </w:r>
          </w:p>
        </w:tc>
      </w:tr>
    </w:tbl>
    <w:p w:rsidR="19F62171" w:rsidP="19F62171" w:rsidRDefault="19F62171" w14:noSpellErr="1" w14:paraId="6AE32CF4" w14:textId="73185B40">
      <w:pPr>
        <w:pStyle w:val="Heading1"/>
      </w:pPr>
      <w:r w:rsidR="19F62171">
        <w:rPr/>
        <w:t>7. Design for JLCPCB (DFF/DFA/DFT rules)</w:t>
      </w:r>
    </w:p>
    <w:p w:rsidR="19F62171" w:rsidRDefault="19F62171" w14:paraId="675F176D" w14:textId="26DA4B50" w14:noSpellErr="1">
      <w:r w:rsidRPr="094FF0F6" w:rsidR="19F62171">
        <w:rPr>
          <w:sz w:val="20"/>
          <w:szCs w:val="20"/>
        </w:rPr>
        <w:t>These rules apply to every revision; the ones that can be checked automatically also run in CI (Section 8).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700"/>
        <w:gridCol w:w="950"/>
        <w:gridCol w:w="8090"/>
      </w:tblGrid>
      <w:tr w:rsidR="19F62171" w:rsidTr="094FF0F6" w14:paraId="1FD40672">
        <w:trPr>
          <w:trHeight w:val="300"/>
        </w:trPr>
        <w:tc>
          <w:tcPr>
            <w:tcW w:w="700" w:type="dxa"/>
            <w:tcMar/>
          </w:tcPr>
          <w:p w:rsidR="19F62171" w:rsidP="094FF0F6" w:rsidRDefault="19F62171" w14:paraId="1A6904A5" w14:textId="7BB8777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ID</w:t>
            </w:r>
          </w:p>
        </w:tc>
        <w:tc>
          <w:tcPr>
            <w:tcW w:w="950" w:type="dxa"/>
            <w:tcMar/>
          </w:tcPr>
          <w:p w:rsidR="19F62171" w:rsidP="094FF0F6" w:rsidRDefault="19F62171" w14:paraId="162961D6" w14:textId="74965E3D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Type</w:t>
            </w:r>
          </w:p>
        </w:tc>
        <w:tc>
          <w:tcPr>
            <w:tcW w:w="8090" w:type="dxa"/>
            <w:tcMar/>
          </w:tcPr>
          <w:p w:rsidR="19F62171" w:rsidP="094FF0F6" w:rsidRDefault="19F62171" w14:paraId="431AF618" w14:textId="6D74450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Rule</w:t>
            </w:r>
          </w:p>
        </w:tc>
      </w:tr>
      <w:tr w:rsidR="19F62171" w:rsidTr="094FF0F6" w14:paraId="1FDED843">
        <w:tc>
          <w:tcPr>
            <w:tcW w:w="700" w:type="dxa"/>
            <w:tcMar/>
          </w:tcPr>
          <w:p w:rsidR="19F62171" w:rsidP="094FF0F6" w:rsidRDefault="19F62171" w14:paraId="4F8F1437" w14:textId="0489A576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R01</w:t>
            </w:r>
          </w:p>
        </w:tc>
        <w:tc>
          <w:tcPr>
            <w:tcW w:w="950" w:type="dxa"/>
            <w:tcMar/>
          </w:tcPr>
          <w:p w:rsidR="19F62171" w:rsidP="094FF0F6" w:rsidRDefault="19F62171" w14:paraId="5D187636" w14:textId="7D678C3A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DFA</w:t>
            </w:r>
          </w:p>
        </w:tc>
        <w:tc>
          <w:tcPr>
            <w:tcW w:w="8090" w:type="dxa"/>
            <w:tcMar/>
          </w:tcPr>
          <w:p w:rsidR="19F62171" w:rsidP="094FF0F6" w:rsidRDefault="19F62171" w14:paraId="6C1355E8" w14:textId="764572F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Prefer Basic parts: each unique Extended part type adds a US$3.07 loading fee.</w:t>
            </w:r>
          </w:p>
        </w:tc>
      </w:tr>
      <w:tr w:rsidR="19F62171" w:rsidTr="094FF0F6" w14:paraId="6B0194BD">
        <w:tc>
          <w:tcPr>
            <w:tcW w:w="700" w:type="dxa"/>
            <w:tcMar/>
          </w:tcPr>
          <w:p w:rsidR="19F62171" w:rsidP="094FF0F6" w:rsidRDefault="19F62171" w14:paraId="32E60B49" w14:textId="0D5AD373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R02</w:t>
            </w:r>
          </w:p>
        </w:tc>
        <w:tc>
          <w:tcPr>
            <w:tcW w:w="950" w:type="dxa"/>
            <w:tcMar/>
          </w:tcPr>
          <w:p w:rsidR="19F62171" w:rsidP="094FF0F6" w:rsidRDefault="19F62171" w14:paraId="56D556C8" w14:textId="0638BA3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DFA</w:t>
            </w:r>
          </w:p>
        </w:tc>
        <w:tc>
          <w:tcPr>
            <w:tcW w:w="8090" w:type="dxa"/>
            <w:tcMar/>
          </w:tcPr>
          <w:p w:rsidR="19F62171" w:rsidP="094FF0F6" w:rsidRDefault="19F62171" w14:paraId="58C5A40A" w14:textId="7F16A0F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Economic PCBA places parts on one side only, so all SMT parts go on the top side.</w:t>
            </w:r>
          </w:p>
        </w:tc>
      </w:tr>
      <w:tr w:rsidR="19F62171" w:rsidTr="094FF0F6" w14:paraId="67534F8E">
        <w:tc>
          <w:tcPr>
            <w:tcW w:w="700" w:type="dxa"/>
            <w:tcMar/>
          </w:tcPr>
          <w:p w:rsidR="19F62171" w:rsidP="094FF0F6" w:rsidRDefault="19F62171" w14:paraId="44D21BAE" w14:textId="162C0170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R03</w:t>
            </w:r>
          </w:p>
        </w:tc>
        <w:tc>
          <w:tcPr>
            <w:tcW w:w="950" w:type="dxa"/>
            <w:tcMar/>
          </w:tcPr>
          <w:p w:rsidR="19F62171" w:rsidP="094FF0F6" w:rsidRDefault="19F62171" w14:paraId="10B7C849" w14:textId="0F09E83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DFA</w:t>
            </w:r>
          </w:p>
        </w:tc>
        <w:tc>
          <w:tcPr>
            <w:tcW w:w="8090" w:type="dxa"/>
            <w:tcMar/>
          </w:tcPr>
          <w:p w:rsidR="19F62171" w:rsidP="094FF0F6" w:rsidRDefault="19F62171" w14:paraId="679931AD" w14:textId="07E7CEF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Each leadless chip (QFN/VSON) adds an X-ray inspection fee. Here the XU316 and OPA1622 are leadless; the AK4493SEQ is leaded.</w:t>
            </w:r>
          </w:p>
        </w:tc>
      </w:tr>
      <w:tr w:rsidR="19F62171" w:rsidTr="094FF0F6" w14:paraId="2AA45D95">
        <w:tc>
          <w:tcPr>
            <w:tcW w:w="700" w:type="dxa"/>
            <w:tcMar/>
          </w:tcPr>
          <w:p w:rsidR="19F62171" w:rsidP="094FF0F6" w:rsidRDefault="19F62171" w14:paraId="1105D797" w14:textId="1EFD2F6D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R04</w:t>
            </w:r>
          </w:p>
        </w:tc>
        <w:tc>
          <w:tcPr>
            <w:tcW w:w="950" w:type="dxa"/>
            <w:tcMar/>
          </w:tcPr>
          <w:p w:rsidR="19F62171" w:rsidP="094FF0F6" w:rsidRDefault="19F62171" w14:paraId="72CD336C" w14:textId="17DB1631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DFA</w:t>
            </w:r>
          </w:p>
        </w:tc>
        <w:tc>
          <w:tcPr>
            <w:tcW w:w="8090" w:type="dxa"/>
            <w:tcMar/>
          </w:tcPr>
          <w:p w:rsidR="19F62171" w:rsidP="094FF0F6" w:rsidRDefault="19F62171" w14:paraId="5BD3A62E" w14:textId="10B8FCF5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Turn on “Confirm Parts Placement” (US$0.45) and check the 3D preview for rotation and polarity errors.</w:t>
            </w:r>
          </w:p>
        </w:tc>
      </w:tr>
      <w:tr w:rsidR="19F62171" w:rsidTr="094FF0F6" w14:paraId="68FBADD3">
        <w:tc>
          <w:tcPr>
            <w:tcW w:w="700" w:type="dxa"/>
            <w:tcMar/>
          </w:tcPr>
          <w:p w:rsidR="19F62171" w:rsidP="094FF0F6" w:rsidRDefault="19F62171" w14:paraId="31279FB8" w14:textId="27CE5D6A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R05</w:t>
            </w:r>
          </w:p>
        </w:tc>
        <w:tc>
          <w:tcPr>
            <w:tcW w:w="950" w:type="dxa"/>
            <w:tcMar/>
          </w:tcPr>
          <w:p w:rsidR="19F62171" w:rsidP="094FF0F6" w:rsidRDefault="19F62171" w14:paraId="6862716E" w14:textId="20AC442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DFF/DFA</w:t>
            </w:r>
          </w:p>
        </w:tc>
        <w:tc>
          <w:tcPr>
            <w:tcW w:w="8090" w:type="dxa"/>
            <w:tcMar/>
          </w:tcPr>
          <w:p w:rsidR="19F62171" w:rsidP="094FF0F6" w:rsidRDefault="19F62171" w14:paraId="5A2FEC59" w14:textId="198A2AF2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More than 30 boards on Economic PCBA must be ordered as one panel of ≤ 250 × 250 mm; otherwise use Standard PCBA.</w:t>
            </w:r>
          </w:p>
        </w:tc>
      </w:tr>
      <w:tr w:rsidR="19F62171" w:rsidTr="094FF0F6" w14:paraId="25010472">
        <w:tc>
          <w:tcPr>
            <w:tcW w:w="700" w:type="dxa"/>
            <w:tcMar/>
          </w:tcPr>
          <w:p w:rsidR="19F62171" w:rsidP="094FF0F6" w:rsidRDefault="19F62171" w14:paraId="4FADB583" w14:textId="309F8B67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R06</w:t>
            </w:r>
          </w:p>
        </w:tc>
        <w:tc>
          <w:tcPr>
            <w:tcW w:w="950" w:type="dxa"/>
            <w:tcMar/>
          </w:tcPr>
          <w:p w:rsidR="19F62171" w:rsidP="094FF0F6" w:rsidRDefault="19F62171" w14:paraId="6C53BED8" w14:textId="297D722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DFA</w:t>
            </w:r>
          </w:p>
        </w:tc>
        <w:tc>
          <w:tcPr>
            <w:tcW w:w="8090" w:type="dxa"/>
            <w:tcMar/>
          </w:tcPr>
          <w:p w:rsidR="19F62171" w:rsidP="094FF0F6" w:rsidRDefault="19F62171" w14:paraId="1457EAB9" w14:textId="225B58E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Through-hole connectors need hand soldering at extra cost; prefer SMT-mount jacks where available.</w:t>
            </w:r>
          </w:p>
        </w:tc>
      </w:tr>
      <w:tr w:rsidR="19F62171" w:rsidTr="094FF0F6" w14:paraId="63700E2E">
        <w:tc>
          <w:tcPr>
            <w:tcW w:w="700" w:type="dxa"/>
            <w:tcMar/>
          </w:tcPr>
          <w:p w:rsidR="19F62171" w:rsidP="094FF0F6" w:rsidRDefault="19F62171" w14:paraId="4650CA07" w14:textId="3970B964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R07</w:t>
            </w:r>
          </w:p>
        </w:tc>
        <w:tc>
          <w:tcPr>
            <w:tcW w:w="950" w:type="dxa"/>
            <w:tcMar/>
          </w:tcPr>
          <w:p w:rsidR="19F62171" w:rsidP="094FF0F6" w:rsidRDefault="19F62171" w14:paraId="7CFFE485" w14:textId="324EA02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DFT</w:t>
            </w:r>
          </w:p>
        </w:tc>
        <w:tc>
          <w:tcPr>
            <w:tcW w:w="8090" w:type="dxa"/>
            <w:tcMar/>
          </w:tcPr>
          <w:p w:rsidR="19F62171" w:rsidP="094FF0F6" w:rsidRDefault="19F62171" w14:paraId="10ACB5BB" w14:textId="2B2C86EC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Test point on every power rail and on the key clock and I²S nets.</w:t>
            </w:r>
          </w:p>
        </w:tc>
      </w:tr>
      <w:tr w:rsidR="19F62171" w:rsidTr="094FF0F6" w14:paraId="2547D90E">
        <w:tc>
          <w:tcPr>
            <w:tcW w:w="700" w:type="dxa"/>
            <w:tcMar/>
          </w:tcPr>
          <w:p w:rsidR="19F62171" w:rsidP="094FF0F6" w:rsidRDefault="19F62171" w14:paraId="3783B3D9" w14:textId="4241E76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R08</w:t>
            </w:r>
          </w:p>
        </w:tc>
        <w:tc>
          <w:tcPr>
            <w:tcW w:w="950" w:type="dxa"/>
            <w:tcMar/>
          </w:tcPr>
          <w:p w:rsidR="19F62171" w:rsidP="094FF0F6" w:rsidRDefault="19F62171" w14:paraId="6A15E723" w14:textId="3B1FCE25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DFT</w:t>
            </w:r>
          </w:p>
        </w:tc>
        <w:tc>
          <w:tcPr>
            <w:tcW w:w="8090" w:type="dxa"/>
            <w:tcMar/>
          </w:tcPr>
          <w:p w:rsidR="19F62171" w:rsidP="094FF0F6" w:rsidRDefault="19F62171" w14:paraId="409C7BD6" w14:textId="33FDB4E9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I²S input header, so the DAC and amplifier can be tested on their own (the QA403 can drive I²S directly).</w:t>
            </w:r>
          </w:p>
        </w:tc>
      </w:tr>
      <w:tr w:rsidR="19F62171" w:rsidTr="094FF0F6" w14:paraId="1E591024">
        <w:tc>
          <w:tcPr>
            <w:tcW w:w="700" w:type="dxa"/>
            <w:tcMar/>
          </w:tcPr>
          <w:p w:rsidR="19F62171" w:rsidP="094FF0F6" w:rsidRDefault="19F62171" w14:paraId="59EDCA38" w14:textId="4B13155E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R09</w:t>
            </w:r>
          </w:p>
        </w:tc>
        <w:tc>
          <w:tcPr>
            <w:tcW w:w="950" w:type="dxa"/>
            <w:tcMar/>
          </w:tcPr>
          <w:p w:rsidR="19F62171" w:rsidP="094FF0F6" w:rsidRDefault="19F62171" w14:paraId="405A2C99" w14:textId="43F0FC22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DFT</w:t>
            </w:r>
          </w:p>
        </w:tc>
        <w:tc>
          <w:tcPr>
            <w:tcW w:w="8090" w:type="dxa"/>
            <w:tcMar/>
          </w:tcPr>
          <w:p w:rsidR="19F62171" w:rsidP="094FF0F6" w:rsidRDefault="19F62171" w14:paraId="7A9CDBC5" w14:textId="3CCEE2E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Fiducials and polarity marks.</w:t>
            </w:r>
          </w:p>
        </w:tc>
      </w:tr>
      <w:tr w:rsidR="19F62171" w:rsidTr="094FF0F6" w14:paraId="70C8073A">
        <w:tc>
          <w:tcPr>
            <w:tcW w:w="700" w:type="dxa"/>
            <w:tcMar/>
          </w:tcPr>
          <w:p w:rsidR="19F62171" w:rsidP="094FF0F6" w:rsidRDefault="19F62171" w14:paraId="71EAE3AE" w14:textId="53E4435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R10</w:t>
            </w:r>
          </w:p>
        </w:tc>
        <w:tc>
          <w:tcPr>
            <w:tcW w:w="950" w:type="dxa"/>
            <w:tcMar/>
          </w:tcPr>
          <w:p w:rsidR="19F62171" w:rsidP="094FF0F6" w:rsidRDefault="19F62171" w14:paraId="6C16639A" w14:textId="4CC22A1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DFF</w:t>
            </w:r>
          </w:p>
        </w:tc>
        <w:tc>
          <w:tcPr>
            <w:tcW w:w="8090" w:type="dxa"/>
            <w:tcMar/>
          </w:tcPr>
          <w:p w:rsidR="19F62171" w:rsidP="094FF0F6" w:rsidRDefault="19F62171" w14:paraId="1CBF1EB1" w14:textId="45A010E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Use JLCPCB’s standard 4-layer impedance-controlled stack-up for the 90 Ω USB pair; solid ground plane; digital and analog areas separated.</w:t>
            </w:r>
          </w:p>
        </w:tc>
      </w:tr>
    </w:tbl>
    <w:p w:rsidR="19F62171" w:rsidP="19F62171" w:rsidRDefault="19F62171" w14:noSpellErr="1" w14:paraId="7AC94128" w14:textId="38A7F5BE">
      <w:pPr>
        <w:pStyle w:val="Heading1"/>
      </w:pPr>
      <w:r w:rsidR="19F62171">
        <w:rPr/>
        <w:t>8. Automation and verification plan</w:t>
      </w:r>
    </w:p>
    <w:p w:rsidR="19F62171" w:rsidRDefault="19F62171" w14:paraId="79CB467A" w14:textId="13FC9B37" w14:noSpellErr="1">
      <w:r w:rsidRPr="094FF0F6" w:rsidR="19F62171">
        <w:rPr>
          <w:sz w:val="20"/>
          <w:szCs w:val="20"/>
        </w:rPr>
        <w:t>The part most relevant to the NVIDIA role: every check runs automatically with an explicit pass/fail rule.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3100"/>
        <w:gridCol w:w="1300"/>
        <w:gridCol w:w="5340"/>
      </w:tblGrid>
      <w:tr w:rsidR="19F62171" w:rsidTr="094FF0F6" w14:paraId="5FB36294">
        <w:trPr>
          <w:trHeight w:val="300"/>
        </w:trPr>
        <w:tc>
          <w:tcPr>
            <w:tcW w:w="3100" w:type="dxa"/>
            <w:tcMar/>
          </w:tcPr>
          <w:p w:rsidR="19F62171" w:rsidP="094FF0F6" w:rsidRDefault="19F62171" w14:paraId="45C17CCC" w14:textId="3397EEB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Check</w:t>
            </w:r>
          </w:p>
        </w:tc>
        <w:tc>
          <w:tcPr>
            <w:tcW w:w="1300" w:type="dxa"/>
            <w:tcMar/>
          </w:tcPr>
          <w:p w:rsidR="19F62171" w:rsidP="094FF0F6" w:rsidRDefault="19F62171" w14:paraId="76334076" w14:textId="2C75D575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Runs when</w:t>
            </w:r>
          </w:p>
        </w:tc>
        <w:tc>
          <w:tcPr>
            <w:tcW w:w="5340" w:type="dxa"/>
            <w:tcMar/>
          </w:tcPr>
          <w:p w:rsidR="19F62171" w:rsidP="094FF0F6" w:rsidRDefault="19F62171" w14:paraId="45770746" w14:textId="2553BC3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Pass/fail rule</w:t>
            </w:r>
          </w:p>
        </w:tc>
      </w:tr>
      <w:tr w:rsidR="19F62171" w:rsidTr="094FF0F6" w14:paraId="4BF09B67">
        <w:tc>
          <w:tcPr>
            <w:tcW w:w="3100" w:type="dxa"/>
            <w:tcMar/>
          </w:tcPr>
          <w:p w:rsidR="19F62171" w:rsidP="094FF0F6" w:rsidRDefault="19F62171" w14:paraId="6DD576E3" w14:textId="3C691CAE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ERC and DRC (KiCad command line)</w:t>
            </w:r>
          </w:p>
        </w:tc>
        <w:tc>
          <w:tcPr>
            <w:tcW w:w="1300" w:type="dxa"/>
            <w:tcMar/>
          </w:tcPr>
          <w:p w:rsidR="19F62171" w:rsidP="094FF0F6" w:rsidRDefault="19F62171" w14:paraId="67EEC650" w14:textId="35470372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Every commit (GitLab CI)</w:t>
            </w:r>
          </w:p>
        </w:tc>
        <w:tc>
          <w:tcPr>
            <w:tcW w:w="5340" w:type="dxa"/>
            <w:tcMar/>
          </w:tcPr>
          <w:p w:rsidR="19F62171" w:rsidP="094FF0F6" w:rsidRDefault="19F62171" w14:paraId="7AD38A2A" w14:textId="2E24EA3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Zero errors</w:t>
            </w:r>
          </w:p>
        </w:tc>
      </w:tr>
      <w:tr w:rsidR="19F62171" w:rsidTr="094FF0F6" w14:paraId="68BB737B">
        <w:tc>
          <w:tcPr>
            <w:tcW w:w="3100" w:type="dxa"/>
            <w:tcMar/>
          </w:tcPr>
          <w:p w:rsidR="19F62171" w:rsidP="094FF0F6" w:rsidRDefault="19F62171" w14:paraId="10CA2D4F" w14:textId="453A4AA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Manufacturing outputs: Gerbers, drill, BOM, pick-and-place, schematic PDF, for both variants</w:t>
            </w:r>
          </w:p>
        </w:tc>
        <w:tc>
          <w:tcPr>
            <w:tcW w:w="1300" w:type="dxa"/>
            <w:tcMar/>
          </w:tcPr>
          <w:p w:rsidR="19F62171" w:rsidP="094FF0F6" w:rsidRDefault="19F62171" w14:paraId="7B0A0897" w14:textId="3E18316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Every commit</w:t>
            </w:r>
          </w:p>
        </w:tc>
        <w:tc>
          <w:tcPr>
            <w:tcW w:w="5340" w:type="dxa"/>
            <w:tcMar/>
          </w:tcPr>
          <w:p w:rsidR="19F62171" w:rsidP="094FF0F6" w:rsidRDefault="19F62171" w14:paraId="78C46965" w14:textId="36F6183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Files generated</w:t>
            </w:r>
          </w:p>
        </w:tc>
      </w:tr>
      <w:tr w:rsidR="19F62171" w:rsidTr="094FF0F6" w14:paraId="53129243">
        <w:tc>
          <w:tcPr>
            <w:tcW w:w="3100" w:type="dxa"/>
            <w:tcMar/>
          </w:tcPr>
          <w:p w:rsidR="19F62171" w:rsidP="094FF0F6" w:rsidRDefault="19F62171" w14:paraId="25D3D311" w14:textId="4E0B78A8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BOM check</w:t>
            </w:r>
          </w:p>
        </w:tc>
        <w:tc>
          <w:tcPr>
            <w:tcW w:w="1300" w:type="dxa"/>
            <w:tcMar/>
          </w:tcPr>
          <w:p w:rsidR="19F62171" w:rsidP="094FF0F6" w:rsidRDefault="19F62171" w14:paraId="1AD9A176" w14:textId="46E95F6C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Every commit</w:t>
            </w:r>
          </w:p>
        </w:tc>
        <w:tc>
          <w:tcPr>
            <w:tcW w:w="5340" w:type="dxa"/>
            <w:tcMar/>
          </w:tcPr>
          <w:p w:rsidR="19F62171" w:rsidP="094FF0F6" w:rsidRDefault="19F62171" w14:paraId="19040C44" w14:textId="3FC7463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Every part has an LCSC number and is in stock; count of Extended parts and leadless chips reported; cost at 5 and 100 units; FAIL if the 100-unit cost &gt; 1,000 NTD</w:t>
            </w:r>
          </w:p>
        </w:tc>
      </w:tr>
      <w:tr w:rsidR="19F62171" w:rsidTr="094FF0F6" w14:paraId="10B750CF">
        <w:tc>
          <w:tcPr>
            <w:tcW w:w="3100" w:type="dxa"/>
            <w:tcMar/>
          </w:tcPr>
          <w:p w:rsidR="19F62171" w:rsidP="094FF0F6" w:rsidRDefault="19F62171" w14:paraId="2818D8F3" w14:textId="56DCA6A5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~10 Python DFF/DFA/DFT and layout rules</w:t>
            </w:r>
          </w:p>
        </w:tc>
        <w:tc>
          <w:tcPr>
            <w:tcW w:w="1300" w:type="dxa"/>
            <w:tcMar/>
          </w:tcPr>
          <w:p w:rsidR="19F62171" w:rsidP="094FF0F6" w:rsidRDefault="19F62171" w14:paraId="774CC9D9" w14:textId="4FBA8D69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Every commit</w:t>
            </w:r>
          </w:p>
        </w:tc>
        <w:tc>
          <w:tcPr>
            <w:tcW w:w="5340" w:type="dxa"/>
            <w:tcMar/>
          </w:tcPr>
          <w:p w:rsidR="19F62171" w:rsidP="094FF0F6" w:rsidRDefault="19F62171" w14:paraId="26B2C03F" w14:textId="4898742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All rules pass, e.g., no digital traces through the analog area, USB pair length-matched, decoupling capacitor near every IC power pin, test point on every rail, fiducials present</w:t>
            </w:r>
          </w:p>
        </w:tc>
      </w:tr>
      <w:tr w:rsidR="19F62171" w:rsidTr="094FF0F6" w14:paraId="6914CC2B">
        <w:tc>
          <w:tcPr>
            <w:tcW w:w="3100" w:type="dxa"/>
            <w:tcMar/>
          </w:tcPr>
          <w:p w:rsidR="19F62171" w:rsidP="094FF0F6" w:rsidRDefault="19F62171" w14:paraId="247EAF02" w14:textId="5FADD4A2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AI datasheet-review agent</w:t>
            </w:r>
          </w:p>
        </w:tc>
        <w:tc>
          <w:tcPr>
            <w:tcW w:w="1300" w:type="dxa"/>
            <w:tcMar/>
          </w:tcPr>
          <w:p w:rsidR="19F62171" w:rsidP="094FF0F6" w:rsidRDefault="19F62171" w14:paraId="76EE7570" w14:textId="588BBB6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Every merge request</w:t>
            </w:r>
          </w:p>
        </w:tc>
        <w:tc>
          <w:tcPr>
            <w:tcW w:w="5340" w:type="dxa"/>
            <w:tcMar/>
          </w:tcPr>
          <w:p w:rsidR="19F62171" w:rsidP="094FF0F6" w:rsidRDefault="19F62171" w14:paraId="4474B2F5" w14:textId="5169A22A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Reads the datasheets for the DAC, amplifier and regulators, extracts requirements, checks the schematic and comments on the MR. Scored on 10–20 deliberately planted errors (catch rate and false alarms)</w:t>
            </w:r>
          </w:p>
        </w:tc>
      </w:tr>
      <w:tr w:rsidR="19F62171" w:rsidTr="094FF0F6" w14:paraId="46021A84">
        <w:tc>
          <w:tcPr>
            <w:tcW w:w="3100" w:type="dxa"/>
            <w:tcMar/>
          </w:tcPr>
          <w:p w:rsidR="19F62171" w:rsidP="094FF0F6" w:rsidRDefault="19F62171" w14:paraId="3B24AB02" w14:textId="687F029F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Automated measurement suite (Python + QuantAsylum QA403, ~US$600, or a school-lab analyzer)</w:t>
            </w:r>
          </w:p>
        </w:tc>
        <w:tc>
          <w:tcPr>
            <w:tcW w:w="1300" w:type="dxa"/>
            <w:tcMar/>
          </w:tcPr>
          <w:p w:rsidR="19F62171" w:rsidP="094FF0F6" w:rsidRDefault="19F62171" w14:paraId="508222D5" w14:textId="615CE96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Each board revision</w:t>
            </w:r>
          </w:p>
        </w:tc>
        <w:tc>
          <w:tcPr>
            <w:tcW w:w="5340" w:type="dxa"/>
            <w:tcMar/>
          </w:tcPr>
          <w:p w:rsidR="19F62171" w:rsidP="094FF0F6" w:rsidRDefault="19F62171" w14:paraId="4B7229EF" w14:textId="5A3AD02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THD+N, dynamic range, frequency response, crosstalk, output impedance, max power at 32/60/120/300 Ω; auto-generated report compared against Section 2</w:t>
            </w:r>
          </w:p>
        </w:tc>
      </w:tr>
    </w:tbl>
    <w:p w:rsidR="19F62171" w:rsidP="19F62171" w:rsidRDefault="19F62171" w14:noSpellErr="1" w14:paraId="7DFF0A63" w14:textId="7B0D43E2">
      <w:pPr>
        <w:pStyle w:val="Heading1"/>
      </w:pPr>
      <w:r w:rsidR="19F62171">
        <w:rPr/>
        <w:t>9. Risks and open decisions</w:t>
      </w:r>
    </w:p>
    <w:p w:rsidR="19F62171" w:rsidP="19F62171" w:rsidRDefault="19F62171" w14:noSpellErr="1" w14:paraId="5A99E0BF" w14:textId="33444CB9">
      <w:pPr>
        <w:pStyle w:val="Heading2"/>
      </w:pPr>
      <w:r w:rsidR="19F62171">
        <w:rPr/>
        <w:t>9.1 Risks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3200"/>
        <w:gridCol w:w="2200"/>
        <w:gridCol w:w="4340"/>
      </w:tblGrid>
      <w:tr w:rsidR="19F62171" w:rsidTr="094FF0F6" w14:paraId="60CB4986">
        <w:trPr>
          <w:trHeight w:val="300"/>
        </w:trPr>
        <w:tc>
          <w:tcPr>
            <w:tcW w:w="3200" w:type="dxa"/>
            <w:tcMar/>
          </w:tcPr>
          <w:p w:rsidR="19F62171" w:rsidP="094FF0F6" w:rsidRDefault="19F62171" w14:paraId="39240073" w14:textId="5D98F9A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Risk</w:t>
            </w:r>
          </w:p>
        </w:tc>
        <w:tc>
          <w:tcPr>
            <w:tcW w:w="2200" w:type="dxa"/>
            <w:tcMar/>
          </w:tcPr>
          <w:p w:rsidR="19F62171" w:rsidP="094FF0F6" w:rsidRDefault="19F62171" w14:paraId="2212EB46" w14:textId="5676E06D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Impact</w:t>
            </w:r>
          </w:p>
        </w:tc>
        <w:tc>
          <w:tcPr>
            <w:tcW w:w="4340" w:type="dxa"/>
            <w:tcMar/>
          </w:tcPr>
          <w:p w:rsidR="19F62171" w:rsidP="094FF0F6" w:rsidRDefault="19F62171" w14:paraId="1862563B" w14:textId="4F54C731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Mitigation</w:t>
            </w:r>
          </w:p>
        </w:tc>
      </w:tr>
      <w:tr w:rsidR="19F62171" w:rsidTr="094FF0F6" w14:paraId="46A99FAF">
        <w:tc>
          <w:tcPr>
            <w:tcW w:w="3200" w:type="dxa"/>
            <w:tcMar/>
          </w:tcPr>
          <w:p w:rsidR="19F62171" w:rsidP="094FF0F6" w:rsidRDefault="19F62171" w14:paraId="7FDC517D" w14:textId="666A27A6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Variant B budget ≈ 4% over target</w:t>
            </w:r>
          </w:p>
        </w:tc>
        <w:tc>
          <w:tcPr>
            <w:tcW w:w="2200" w:type="dxa"/>
            <w:tcMar/>
          </w:tcPr>
          <w:p w:rsidR="19F62171" w:rsidP="094FF0F6" w:rsidRDefault="19F62171" w14:paraId="6EAB7A48" w14:textId="5F480E6A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Cost target</w:t>
            </w:r>
          </w:p>
        </w:tc>
        <w:tc>
          <w:tcPr>
            <w:tcW w:w="4340" w:type="dxa"/>
            <w:tcMar/>
          </w:tcPr>
          <w:p w:rsidR="19F62171" w:rsidP="094FF0F6" w:rsidRDefault="19F62171" w14:paraId="6D7EE293" w14:textId="5825F52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Cost-down levers (Section 6); automated cost gate</w:t>
            </w:r>
          </w:p>
        </w:tc>
      </w:tr>
      <w:tr w:rsidR="19F62171" w:rsidTr="094FF0F6" w14:paraId="23A81290">
        <w:tc>
          <w:tcPr>
            <w:tcW w:w="3200" w:type="dxa"/>
            <w:tcMar/>
          </w:tcPr>
          <w:p w:rsidR="19F62171" w:rsidP="094FF0F6" w:rsidRDefault="19F62171" w14:paraId="3D7B9967" w14:textId="6F3B55A3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OPA1622 output current at its limit</w:t>
            </w:r>
          </w:p>
        </w:tc>
        <w:tc>
          <w:tcPr>
            <w:tcW w:w="2200" w:type="dxa"/>
            <w:tcMar/>
          </w:tcPr>
          <w:p w:rsidR="19F62171" w:rsidP="094FF0F6" w:rsidRDefault="19F62171" w14:paraId="5921741C" w14:textId="68193C6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Clipping or distortion at high SPL</w:t>
            </w:r>
          </w:p>
        </w:tc>
        <w:tc>
          <w:tcPr>
            <w:tcW w:w="4340" w:type="dxa"/>
            <w:tcMar/>
          </w:tcPr>
          <w:p w:rsidR="19F62171" w:rsidP="094FF0F6" w:rsidRDefault="19F62171" w14:paraId="32E47EC0" w14:textId="60F7232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Variant B paralleling; 100 mA design limit</w:t>
            </w:r>
          </w:p>
        </w:tc>
      </w:tr>
      <w:tr w:rsidR="19F62171" w:rsidTr="094FF0F6" w14:paraId="4E060C04">
        <w:tc>
          <w:tcPr>
            <w:tcW w:w="3200" w:type="dxa"/>
            <w:tcMar/>
          </w:tcPr>
          <w:p w:rsidR="19F62171" w:rsidP="094FF0F6" w:rsidRDefault="19F62171" w14:paraId="6BEDF53D" w14:textId="780C83A0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AK4493SEQ supply: 24-week factory lead time; LCSC stock unconfirmed</w:t>
            </w:r>
          </w:p>
        </w:tc>
        <w:tc>
          <w:tcPr>
            <w:tcW w:w="2200" w:type="dxa"/>
            <w:tcMar/>
          </w:tcPr>
          <w:p w:rsidR="19F62171" w:rsidP="094FF0F6" w:rsidRDefault="19F62171" w14:paraId="4809565C" w14:textId="70EA6A6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Schedule</w:t>
            </w:r>
          </w:p>
        </w:tc>
        <w:tc>
          <w:tcPr>
            <w:tcW w:w="4340" w:type="dxa"/>
            <w:tcMar/>
          </w:tcPr>
          <w:p w:rsidR="19F62171" w:rsidP="094FF0F6" w:rsidRDefault="19F62171" w14:paraId="30C9A1E9" w14:textId="69C8512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Buy the prototype quantity early; consign parts to JLCPCB if needed</w:t>
            </w:r>
          </w:p>
        </w:tc>
      </w:tr>
      <w:tr w:rsidR="19F62171" w:rsidTr="094FF0F6" w14:paraId="3A4A5504">
        <w:tc>
          <w:tcPr>
            <w:tcW w:w="3200" w:type="dxa"/>
            <w:tcMar/>
          </w:tcPr>
          <w:p w:rsidR="19F62171" w:rsidP="094FF0F6" w:rsidRDefault="19F62171" w14:paraId="51F4BE76" w14:textId="00DDB19D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CH224K discontinued at LCSC</w:t>
            </w:r>
          </w:p>
        </w:tc>
        <w:tc>
          <w:tcPr>
            <w:tcW w:w="2200" w:type="dxa"/>
            <w:tcMar/>
          </w:tcPr>
          <w:p w:rsidR="19F62171" w:rsidP="094FF0F6" w:rsidRDefault="19F62171" w14:paraId="291EA850" w14:textId="79BB9861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Redesign</w:t>
            </w:r>
          </w:p>
        </w:tc>
        <w:tc>
          <w:tcPr>
            <w:tcW w:w="4340" w:type="dxa"/>
            <w:tcMar/>
          </w:tcPr>
          <w:p w:rsidR="19F62171" w:rsidP="094FF0F6" w:rsidRDefault="19F62171" w14:paraId="7C488A5B" w14:textId="72997F25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Choose the successor PD chip at the schematic stage</w:t>
            </w:r>
          </w:p>
        </w:tc>
      </w:tr>
      <w:tr w:rsidR="19F62171" w:rsidTr="094FF0F6" w14:paraId="7A7EB511">
        <w:tc>
          <w:tcPr>
            <w:tcW w:w="3200" w:type="dxa"/>
            <w:tcMar/>
          </w:tcPr>
          <w:p w:rsidR="19F62171" w:rsidP="094FF0F6" w:rsidRDefault="19F62171" w14:paraId="602655E5" w14:textId="09AEDF9A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XU316 0.4 mm-pitch QFN</w:t>
            </w:r>
          </w:p>
        </w:tc>
        <w:tc>
          <w:tcPr>
            <w:tcW w:w="2200" w:type="dxa"/>
            <w:tcMar/>
          </w:tcPr>
          <w:p w:rsidR="19F62171" w:rsidP="094FF0F6" w:rsidRDefault="19F62171" w14:paraId="1A34CF69" w14:textId="028CC65E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Layout and assembly yield</w:t>
            </w:r>
          </w:p>
        </w:tc>
        <w:tc>
          <w:tcPr>
            <w:tcW w:w="4340" w:type="dxa"/>
            <w:tcMar/>
          </w:tcPr>
          <w:p w:rsidR="19F62171" w:rsidP="094FF0F6" w:rsidRDefault="19F62171" w14:paraId="61B854A0" w14:textId="7B6AAD22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Follow the XMOS reference layout; X-ray inspection</w:t>
            </w:r>
          </w:p>
        </w:tc>
      </w:tr>
      <w:tr w:rsidR="19F62171" w:rsidTr="094FF0F6" w14:paraId="7516DB01">
        <w:tc>
          <w:tcPr>
            <w:tcW w:w="3200" w:type="dxa"/>
            <w:tcMar/>
          </w:tcPr>
          <w:p w:rsidR="19F62171" w:rsidP="094FF0F6" w:rsidRDefault="19F62171" w14:paraId="7E113915" w14:textId="12800D97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Two USB ports: possible ground-loop noise from the PC</w:t>
            </w:r>
          </w:p>
        </w:tc>
        <w:tc>
          <w:tcPr>
            <w:tcW w:w="2200" w:type="dxa"/>
            <w:tcMar/>
          </w:tcPr>
          <w:p w:rsidR="19F62171" w:rsidP="094FF0F6" w:rsidRDefault="19F62171" w14:paraId="6BF66F38" w14:textId="0B5DF45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Noise floor</w:t>
            </w:r>
          </w:p>
        </w:tc>
        <w:tc>
          <w:tcPr>
            <w:tcW w:w="4340" w:type="dxa"/>
            <w:tcMar/>
          </w:tcPr>
          <w:p w:rsidR="19F62171" w:rsidP="094FF0F6" w:rsidRDefault="19F62171" w14:paraId="4DECA9DD" w14:textId="043BDB1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Measure; USB isolation as a v2 option</w:t>
            </w:r>
          </w:p>
        </w:tc>
      </w:tr>
      <w:tr w:rsidR="19F62171" w:rsidTr="094FF0F6" w14:paraId="1676F68F">
        <w:tc>
          <w:tcPr>
            <w:tcW w:w="3200" w:type="dxa"/>
            <w:tcMar/>
          </w:tcPr>
          <w:p w:rsidR="19F62171" w:rsidP="094FF0F6" w:rsidRDefault="19F62171" w14:paraId="5A27F749" w14:textId="1B513B94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Headphone damage during bring-up</w:t>
            </w:r>
          </w:p>
        </w:tc>
        <w:tc>
          <w:tcPr>
            <w:tcW w:w="2200" w:type="dxa"/>
            <w:tcMar/>
          </w:tcPr>
          <w:p w:rsidR="19F62171" w:rsidP="094FF0F6" w:rsidRDefault="19F62171" w14:paraId="162CCB81" w14:textId="142F2258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Very costly</w:t>
            </w:r>
          </w:p>
        </w:tc>
        <w:tc>
          <w:tcPr>
            <w:tcW w:w="4340" w:type="dxa"/>
            <w:tcMar/>
          </w:tcPr>
          <w:p w:rsidR="19F62171" w:rsidP="094FF0F6" w:rsidRDefault="19F62171" w14:paraId="6609ACF3" w14:textId="0D0D091C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Relay protection; dummy loads only</w:t>
            </w:r>
          </w:p>
        </w:tc>
      </w:tr>
    </w:tbl>
    <w:p w:rsidR="19F62171" w:rsidP="19F62171" w:rsidRDefault="19F62171" w14:noSpellErr="1" w14:paraId="5170062D" w14:textId="37F29E71">
      <w:pPr>
        <w:pStyle w:val="Heading2"/>
      </w:pPr>
      <w:r w:rsidR="19F62171">
        <w:rPr/>
        <w:t>9.2 Open decisions (to close during schematic)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2100"/>
        <w:gridCol w:w="7640"/>
      </w:tblGrid>
      <w:tr w:rsidR="19F62171" w:rsidTr="094FF0F6" w14:paraId="7296FCC8">
        <w:trPr>
          <w:trHeight w:val="300"/>
        </w:trPr>
        <w:tc>
          <w:tcPr>
            <w:tcW w:w="2100" w:type="dxa"/>
            <w:tcMar/>
          </w:tcPr>
          <w:p w:rsidR="19F62171" w:rsidP="094FF0F6" w:rsidRDefault="19F62171" w14:paraId="2721FE60" w14:textId="106B329E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Decision</w:t>
            </w:r>
          </w:p>
        </w:tc>
        <w:tc>
          <w:tcPr>
            <w:tcW w:w="7640" w:type="dxa"/>
            <w:tcMar/>
          </w:tcPr>
          <w:p w:rsidR="19F62171" w:rsidP="094FF0F6" w:rsidRDefault="19F62171" w14:paraId="3BEFA397" w14:textId="09491962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Options and notes</w:t>
            </w:r>
          </w:p>
        </w:tc>
      </w:tr>
      <w:tr w:rsidR="19F62171" w:rsidTr="094FF0F6" w14:paraId="776118FF">
        <w:tc>
          <w:tcPr>
            <w:tcW w:w="2100" w:type="dxa"/>
            <w:tcMar/>
          </w:tcPr>
          <w:p w:rsidR="19F62171" w:rsidP="094FF0F6" w:rsidRDefault="19F62171" w14:paraId="2ECCAA9E" w14:textId="205E79D7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Rail regulators</w:t>
            </w:r>
          </w:p>
        </w:tc>
        <w:tc>
          <w:tcPr>
            <w:tcW w:w="7640" w:type="dxa"/>
            <w:tcMar/>
          </w:tcPr>
          <w:p w:rsidR="19F62171" w:rsidP="094FF0F6" w:rsidRDefault="19F62171" w14:paraId="4CC4C0FC" w14:textId="193C609B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Low-cost LM317/LM337-class, or lower-noise TI TPS7A4901/TPS7A3001, whose 150 mA / 200 mA limits may be too low for Variant B at full power</w:t>
            </w:r>
          </w:p>
        </w:tc>
      </w:tr>
      <w:tr w:rsidR="19F62171" w:rsidTr="094FF0F6" w14:paraId="5B0FB38A">
        <w:tc>
          <w:tcPr>
            <w:tcW w:w="2100" w:type="dxa"/>
            <w:tcMar/>
          </w:tcPr>
          <w:p w:rsidR="19F62171" w:rsidP="094FF0F6" w:rsidRDefault="19F62171" w14:paraId="13F35AC4" w14:textId="3051C110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Clock source</w:t>
            </w:r>
          </w:p>
        </w:tc>
        <w:tc>
          <w:tcPr>
            <w:tcW w:w="7640" w:type="dxa"/>
            <w:tcMar/>
          </w:tcPr>
          <w:p w:rsidR="19F62171" w:rsidP="094FF0F6" w:rsidRDefault="19F62171" w14:paraId="1F77C416" w14:textId="292FA7D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Two oscillators, or the XU316 internal PLL (saves ≈ 38 NTD; jitter to be measured)</w:t>
            </w:r>
          </w:p>
        </w:tc>
      </w:tr>
      <w:tr w:rsidR="19F62171" w:rsidTr="094FF0F6" w14:paraId="4FB6D273">
        <w:tc>
          <w:tcPr>
            <w:tcW w:w="2100" w:type="dxa"/>
            <w:tcMar/>
          </w:tcPr>
          <w:p w:rsidR="19F62171" w:rsidP="094FF0F6" w:rsidRDefault="19F62171" w14:paraId="3FD547A5" w14:textId="4045084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PD sink chip</w:t>
            </w:r>
          </w:p>
        </w:tc>
        <w:tc>
          <w:tcPr>
            <w:tcW w:w="7640" w:type="dxa"/>
            <w:tcMar/>
          </w:tcPr>
          <w:p w:rsidR="19F62171" w:rsidP="094FF0F6" w:rsidRDefault="19F62171" w14:paraId="2BCA33AA" w14:textId="3922EF0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Successor to the CH224K, e.g., CH224Q</w:t>
            </w:r>
          </w:p>
        </w:tc>
      </w:tr>
      <w:tr w:rsidR="19F62171" w:rsidTr="094FF0F6" w14:paraId="5EDC5E72">
        <w:tc>
          <w:tcPr>
            <w:tcW w:w="2100" w:type="dxa"/>
            <w:tcMar/>
          </w:tcPr>
          <w:p w:rsidR="19F62171" w:rsidP="094FF0F6" w:rsidRDefault="19F62171" w14:paraId="6DDC158A" w14:textId="50384F82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Connectors</w:t>
            </w:r>
          </w:p>
        </w:tc>
        <w:tc>
          <w:tcPr>
            <w:tcW w:w="7640" w:type="dxa"/>
            <w:tcMar/>
          </w:tcPr>
          <w:p w:rsidR="19F62171" w:rsidP="094FF0F6" w:rsidRDefault="19F62171" w14:paraId="13899CA9" w14:textId="4916364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Add a 4-pin XLR output? (out of scope for v1 as currently drafted)</w:t>
            </w:r>
          </w:p>
        </w:tc>
      </w:tr>
      <w:tr w:rsidR="19F62171" w:rsidTr="094FF0F6" w14:paraId="476D5614">
        <w:tc>
          <w:tcPr>
            <w:tcW w:w="2100" w:type="dxa"/>
            <w:tcMar/>
          </w:tcPr>
          <w:p w:rsidR="19F62171" w:rsidP="094FF0F6" w:rsidRDefault="19F62171" w14:paraId="3A659762" w14:textId="602B96BB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Volume control</w:t>
            </w:r>
          </w:p>
        </w:tc>
        <w:tc>
          <w:tcPr>
            <w:tcW w:w="7640" w:type="dxa"/>
            <w:tcMar/>
          </w:tcPr>
          <w:p w:rsidR="19F62171" w:rsidP="094FF0F6" w:rsidRDefault="19F62171" w14:paraId="57C15167" w14:textId="59097D7F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Hardware volume knob in v2</w:t>
            </w:r>
          </w:p>
        </w:tc>
      </w:tr>
    </w:tbl>
    <w:p w:rsidR="19F62171" w:rsidP="19F62171" w:rsidRDefault="19F62171" w14:noSpellErr="1" w14:paraId="3AC01A8F" w14:textId="4B0EF2A9">
      <w:pPr>
        <w:pStyle w:val="Heading1"/>
      </w:pPr>
      <w:r w:rsidR="19F62171">
        <w:rPr/>
        <w:t>10. Next steps (schematic phase, weeks 1–3)</w:t>
      </w:r>
    </w:p>
    <w:tbl>
      <w:tblPr>
        <w:tblStyle w:val="LightList-Accent1"/>
        <w:tblW w:w="9740" w:type="dxa"/>
        <w:tblLook w:val="04A0" w:firstRow="1" w:lastRow="0" w:firstColumn="1" w:lastColumn="0" w:noHBand="0" w:noVBand="1"/>
      </w:tblPr>
      <w:tblGrid>
        <w:gridCol w:w="500"/>
        <w:gridCol w:w="8540"/>
        <w:gridCol w:w="700"/>
      </w:tblGrid>
      <w:tr w:rsidR="19F62171" w:rsidTr="094FF0F6" w14:paraId="65350711">
        <w:trPr>
          <w:trHeight w:val="300"/>
        </w:trPr>
        <w:tc>
          <w:tcPr>
            <w:tcW w:w="500" w:type="dxa"/>
            <w:tcMar/>
          </w:tcPr>
          <w:p w:rsidR="19F62171" w:rsidP="094FF0F6" w:rsidRDefault="19F62171" w14:paraId="322D693F" w14:textId="71CDF2B5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#</w:t>
            </w:r>
          </w:p>
        </w:tc>
        <w:tc>
          <w:tcPr>
            <w:tcW w:w="8540" w:type="dxa"/>
            <w:tcMar/>
          </w:tcPr>
          <w:p w:rsidR="19F62171" w:rsidP="094FF0F6" w:rsidRDefault="19F62171" w14:paraId="16227AB8" w14:textId="6AABD979" w14:noSpellErr="1">
            <w:pPr>
              <w:pStyle w:val="Caption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Action</w:t>
            </w:r>
          </w:p>
        </w:tc>
        <w:tc>
          <w:tcPr>
            <w:tcW w:w="700" w:type="dxa"/>
            <w:tcMar/>
          </w:tcPr>
          <w:p w:rsidR="19F62171" w:rsidP="094FF0F6" w:rsidRDefault="19F62171" w14:paraId="784B5F75" w14:textId="6389C03D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Done</w:t>
            </w:r>
          </w:p>
        </w:tc>
      </w:tr>
      <w:tr w:rsidR="19F62171" w:rsidTr="094FF0F6" w14:paraId="34A8821F">
        <w:tc>
          <w:tcPr>
            <w:tcW w:w="500" w:type="dxa"/>
            <w:tcMar/>
          </w:tcPr>
          <w:p w:rsidR="19F62171" w:rsidP="094FF0F6" w:rsidRDefault="19F62171" w14:paraId="47A0DB3C" w14:textId="7A9F20B2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1</w:t>
            </w:r>
          </w:p>
        </w:tc>
        <w:tc>
          <w:tcPr>
            <w:tcW w:w="8540" w:type="dxa"/>
            <w:tcMar/>
          </w:tcPr>
          <w:p w:rsidR="19F62171" w:rsidP="094FF0F6" w:rsidRDefault="19F62171" w14:paraId="788DBDDF" w14:textId="737D0776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Create the GitLab repository and KiCad project with the CI skeleton (ERC/DRC + outputs) before drawing anything.</w:t>
            </w:r>
          </w:p>
        </w:tc>
        <w:tc>
          <w:tcPr>
            <w:tcW w:w="700" w:type="dxa"/>
            <w:tcMar/>
          </w:tcPr>
          <w:p w:rsidR="19F62171" w:rsidP="094FF0F6" w:rsidRDefault="19F62171" w14:paraId="4983D293" w14:textId="6C5AEE3A" w14:noSpellErr="1">
            <w:pPr>
              <w:pStyle w:val="Caption"/>
              <w:jc w:val="center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☐</w:t>
            </w:r>
          </w:p>
        </w:tc>
      </w:tr>
      <w:tr w:rsidR="19F62171" w:rsidTr="094FF0F6" w14:paraId="62C9EF2D">
        <w:tc>
          <w:tcPr>
            <w:tcW w:w="500" w:type="dxa"/>
            <w:tcMar/>
          </w:tcPr>
          <w:p w:rsidR="19F62171" w:rsidP="094FF0F6" w:rsidRDefault="19F62171" w14:paraId="4C32129A" w14:textId="03704EAF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2</w:t>
            </w:r>
          </w:p>
        </w:tc>
        <w:tc>
          <w:tcPr>
            <w:tcW w:w="8540" w:type="dxa"/>
            <w:tcMar/>
          </w:tcPr>
          <w:p w:rsidR="19F62171" w:rsidP="094FF0F6" w:rsidRDefault="19F62171" w14:paraId="62D3E411" w14:textId="7C4E3573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Download datasheets and reference material: AK4493SEQ datasheet and AKD4493S evaluation-board manual (AKM website, request form); XU316 datasheet and XMOS sw_usb_audio reference design; OPA1622 datasheet.</w:t>
            </w:r>
          </w:p>
        </w:tc>
        <w:tc>
          <w:tcPr>
            <w:tcW w:w="700" w:type="dxa"/>
            <w:tcMar/>
          </w:tcPr>
          <w:p w:rsidR="19F62171" w:rsidP="094FF0F6" w:rsidRDefault="19F62171" w14:paraId="3A97F589" w14:textId="752C1C37" w14:noSpellErr="1">
            <w:pPr>
              <w:pStyle w:val="Caption"/>
              <w:jc w:val="center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☐</w:t>
            </w:r>
          </w:p>
        </w:tc>
      </w:tr>
      <w:tr w:rsidR="19F62171" w:rsidTr="094FF0F6" w14:paraId="6CA2F0C0">
        <w:tc>
          <w:tcPr>
            <w:tcW w:w="500" w:type="dxa"/>
            <w:tcMar/>
          </w:tcPr>
          <w:p w:rsidR="19F62171" w:rsidP="094FF0F6" w:rsidRDefault="19F62171" w14:paraId="6E88D706" w14:textId="0C417CAC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3</w:t>
            </w:r>
          </w:p>
        </w:tc>
        <w:tc>
          <w:tcPr>
            <w:tcW w:w="8540" w:type="dxa"/>
            <w:tcMar/>
          </w:tcPr>
          <w:p w:rsidR="19F62171" w:rsidP="094FF0F6" w:rsidRDefault="19F62171" w14:paraId="7BB1C01F" w14:textId="051F6370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Draw the schematic block by block (power → USB/XU316 → clocks → DAC → output stage → protection) and write down the calculations for each block.</w:t>
            </w:r>
          </w:p>
        </w:tc>
        <w:tc>
          <w:tcPr>
            <w:tcW w:w="700" w:type="dxa"/>
            <w:tcMar/>
          </w:tcPr>
          <w:p w:rsidR="19F62171" w:rsidP="094FF0F6" w:rsidRDefault="19F62171" w14:paraId="13EA11DC" w14:textId="7DFD4A34" w14:noSpellErr="1">
            <w:pPr>
              <w:pStyle w:val="Caption"/>
              <w:jc w:val="center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☐</w:t>
            </w:r>
          </w:p>
        </w:tc>
      </w:tr>
      <w:tr w:rsidR="19F62171" w:rsidTr="094FF0F6" w14:paraId="38ECEC90">
        <w:tc>
          <w:tcPr>
            <w:tcW w:w="500" w:type="dxa"/>
            <w:tcMar/>
          </w:tcPr>
          <w:p w:rsidR="19F62171" w:rsidP="094FF0F6" w:rsidRDefault="19F62171" w14:paraId="1F77EC47" w14:textId="1512AAA9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4</w:t>
            </w:r>
          </w:p>
        </w:tc>
        <w:tc>
          <w:tcPr>
            <w:tcW w:w="8540" w:type="dxa"/>
            <w:tcMar/>
          </w:tcPr>
          <w:p w:rsidR="19F62171" w:rsidP="094FF0F6" w:rsidRDefault="19F62171" w14:paraId="5C39A948" w14:textId="0DF0916D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Assign an LCSC part number to every part and run the BOM cost gate.</w:t>
            </w:r>
          </w:p>
        </w:tc>
        <w:tc>
          <w:tcPr>
            <w:tcW w:w="700" w:type="dxa"/>
            <w:tcMar/>
          </w:tcPr>
          <w:p w:rsidR="19F62171" w:rsidP="094FF0F6" w:rsidRDefault="19F62171" w14:paraId="311D173C" w14:textId="06CE7831" w14:noSpellErr="1">
            <w:pPr>
              <w:pStyle w:val="Caption"/>
              <w:jc w:val="center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☐</w:t>
            </w:r>
          </w:p>
        </w:tc>
      </w:tr>
      <w:tr w:rsidR="19F62171" w:rsidTr="094FF0F6" w14:paraId="79B9A239">
        <w:tc>
          <w:tcPr>
            <w:tcW w:w="500" w:type="dxa"/>
            <w:tcMar/>
          </w:tcPr>
          <w:p w:rsidR="19F62171" w:rsidP="094FF0F6" w:rsidRDefault="19F62171" w14:paraId="34C2D1AB" w14:textId="1DE3D8A6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5</w:t>
            </w:r>
          </w:p>
        </w:tc>
        <w:tc>
          <w:tcPr>
            <w:tcW w:w="8540" w:type="dxa"/>
            <w:tcMar/>
          </w:tcPr>
          <w:p w:rsidR="19F62171" w:rsidP="094FF0F6" w:rsidRDefault="19F62171" w14:paraId="2C8E9B48" w14:textId="16C1BF6A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Close the open decisions in Section 9.2.</w:t>
            </w:r>
          </w:p>
        </w:tc>
        <w:tc>
          <w:tcPr>
            <w:tcW w:w="700" w:type="dxa"/>
            <w:tcMar/>
          </w:tcPr>
          <w:p w:rsidR="19F62171" w:rsidP="094FF0F6" w:rsidRDefault="19F62171" w14:paraId="3BE2249B" w14:textId="0F9FA62E" w14:noSpellErr="1">
            <w:pPr>
              <w:pStyle w:val="Caption"/>
              <w:jc w:val="center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☐</w:t>
            </w:r>
          </w:p>
        </w:tc>
      </w:tr>
      <w:tr w:rsidR="19F62171" w:rsidTr="094FF0F6" w14:paraId="74F9766E">
        <w:tc>
          <w:tcPr>
            <w:tcW w:w="500" w:type="dxa"/>
            <w:tcMar/>
          </w:tcPr>
          <w:p w:rsidR="19F62171" w:rsidP="094FF0F6" w:rsidRDefault="19F62171" w14:paraId="2B7B17AE" w14:textId="26B506A3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6</w:t>
            </w:r>
          </w:p>
        </w:tc>
        <w:tc>
          <w:tcPr>
            <w:tcW w:w="8540" w:type="dxa"/>
            <w:tcMar/>
          </w:tcPr>
          <w:p w:rsidR="19F62171" w:rsidP="094FF0F6" w:rsidRDefault="19F62171" w14:paraId="6F22A23F" w14:textId="1F92ED67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Get a schematic review from an experienced engineer, then start layout.</w:t>
            </w:r>
          </w:p>
        </w:tc>
        <w:tc>
          <w:tcPr>
            <w:tcW w:w="700" w:type="dxa"/>
            <w:tcMar/>
          </w:tcPr>
          <w:p w:rsidR="19F62171" w:rsidP="094FF0F6" w:rsidRDefault="19F62171" w14:paraId="3F8743D1" w14:textId="1870D42B" w14:noSpellErr="1">
            <w:pPr>
              <w:pStyle w:val="Caption"/>
              <w:jc w:val="center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☐</w:t>
            </w:r>
          </w:p>
        </w:tc>
      </w:tr>
      <w:tr w:rsidR="19F62171" w:rsidTr="094FF0F6" w14:paraId="3283E56A">
        <w:tc>
          <w:tcPr>
            <w:tcW w:w="500" w:type="dxa"/>
            <w:tcMar/>
          </w:tcPr>
          <w:p w:rsidR="19F62171" w:rsidP="094FF0F6" w:rsidRDefault="19F62171" w14:paraId="53ECE0AE" w14:textId="2F8634A0" w14:noSpellErr="1">
            <w:pPr>
              <w:pStyle w:val="Caption"/>
              <w:jc w:val="center"/>
            </w:pPr>
            <w:r w:rsidRPr="094FF0F6" w:rsidR="19F62171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7</w:t>
            </w:r>
          </w:p>
        </w:tc>
        <w:tc>
          <w:tcPr>
            <w:tcW w:w="8540" w:type="dxa"/>
            <w:tcMar/>
          </w:tcPr>
          <w:p w:rsidR="19F62171" w:rsidP="094FF0F6" w:rsidRDefault="19F62171" w14:paraId="71C7F3BC" w14:textId="28641B64" w14:noSpellErr="1">
            <w:pPr>
              <w:pStyle w:val="Caption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Apply to the NVIDIA posting once the repository and CI are public.</w:t>
            </w:r>
          </w:p>
        </w:tc>
        <w:tc>
          <w:tcPr>
            <w:tcW w:w="700" w:type="dxa"/>
            <w:tcMar/>
          </w:tcPr>
          <w:p w:rsidR="19F62171" w:rsidP="094FF0F6" w:rsidRDefault="19F62171" w14:paraId="50040FE0" w14:textId="21420228" w14:noSpellErr="1">
            <w:pPr>
              <w:pStyle w:val="Caption"/>
              <w:jc w:val="center"/>
            </w:pPr>
            <w:r w:rsidRPr="094FF0F6" w:rsidR="19F62171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☐</w:t>
            </w:r>
          </w:p>
        </w:tc>
      </w:tr>
    </w:tbl>
    <w:p w:rsidR="094FF0F6" w:rsidP="094FF0F6" w:rsidRDefault="094FF0F6" w14:noSpellErr="1" w14:paraId="6CB4A4A1" w14:textId="69C4C6A1">
      <w:pPr>
        <w:pStyle w:val="Heading1"/>
      </w:pPr>
      <w:r w:rsidR="094FF0F6">
        <w:rPr/>
        <w:t>Appendix A. Reference documents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700"/>
        <w:gridCol w:w="5540"/>
        <w:gridCol w:w="3500"/>
      </w:tblGrid>
      <w:tr w:rsidR="094FF0F6" w:rsidTr="094FF0F6" w14:paraId="22FECC95">
        <w:trPr>
          <w:trHeight w:val="300"/>
        </w:trPr>
        <w:tc>
          <w:tcPr>
            <w:tcW w:w="700" w:type="dxa"/>
            <w:tcMar/>
          </w:tcPr>
          <w:p w:rsidR="094FF0F6" w:rsidP="094FF0F6" w:rsidRDefault="094FF0F6" w14:noSpellErr="1" w14:paraId="5705F550" w14:textId="686706BE">
            <w:pPr>
              <w:pStyle w:val="Caption"/>
            </w:pPr>
            <w:r w:rsidRPr="094FF0F6" w:rsidR="094FF0F6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Ref</w:t>
            </w:r>
          </w:p>
        </w:tc>
        <w:tc>
          <w:tcPr>
            <w:tcW w:w="5540" w:type="dxa"/>
            <w:tcMar/>
          </w:tcPr>
          <w:p w:rsidR="094FF0F6" w:rsidP="094FF0F6" w:rsidRDefault="094FF0F6" w14:noSpellErr="1" w14:paraId="7F344F27" w14:textId="6144ED82">
            <w:pPr>
              <w:pStyle w:val="Caption"/>
            </w:pPr>
            <w:r w:rsidRPr="094FF0F6" w:rsidR="094FF0F6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Document</w:t>
            </w:r>
          </w:p>
        </w:tc>
        <w:tc>
          <w:tcPr>
            <w:tcW w:w="3500" w:type="dxa"/>
            <w:tcMar/>
          </w:tcPr>
          <w:p w:rsidR="094FF0F6" w:rsidP="094FF0F6" w:rsidRDefault="094FF0F6" w14:noSpellErr="1" w14:paraId="17D7F1B9" w14:textId="5A22D446">
            <w:pPr>
              <w:pStyle w:val="Caption"/>
            </w:pPr>
            <w:r w:rsidRPr="094FF0F6" w:rsidR="094FF0F6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Source</w:t>
            </w:r>
          </w:p>
        </w:tc>
      </w:tr>
      <w:tr w:rsidR="094FF0F6" w:rsidTr="094FF0F6" w14:paraId="2CAE9286">
        <w:tc>
          <w:tcPr>
            <w:tcW w:w="700" w:type="dxa"/>
            <w:tcMar/>
          </w:tcPr>
          <w:p w:rsidR="094FF0F6" w:rsidP="094FF0F6" w:rsidRDefault="094FF0F6" w14:noSpellErr="1" w14:paraId="1C5576DC" w14:textId="713834BB">
            <w:pPr>
              <w:pStyle w:val="Caption"/>
            </w:pPr>
            <w:r w:rsidRPr="094FF0F6" w:rsidR="094FF0F6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[1]</w:t>
            </w:r>
          </w:p>
        </w:tc>
        <w:tc>
          <w:tcPr>
            <w:tcW w:w="5540" w:type="dxa"/>
            <w:tcMar/>
          </w:tcPr>
          <w:p w:rsidR="094FF0F6" w:rsidP="094FF0F6" w:rsidRDefault="094FF0F6" w14:noSpellErr="1" w14:paraId="1A79258C" w14:textId="6A161B7F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AK4493SEQ datasheet</w:t>
            </w:r>
          </w:p>
        </w:tc>
        <w:tc>
          <w:tcPr>
            <w:tcW w:w="3500" w:type="dxa"/>
            <w:tcMar/>
          </w:tcPr>
          <w:p w:rsidR="094FF0F6" w:rsidP="094FF0F6" w:rsidRDefault="094FF0F6" w14:noSpellErr="1" w14:paraId="27AC7AD1" w14:textId="62F40243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AKM</w:t>
            </w:r>
          </w:p>
        </w:tc>
      </w:tr>
      <w:tr w:rsidR="094FF0F6" w:rsidTr="094FF0F6" w14:paraId="68D80AA2">
        <w:tc>
          <w:tcPr>
            <w:tcW w:w="700" w:type="dxa"/>
            <w:tcMar/>
          </w:tcPr>
          <w:p w:rsidR="094FF0F6" w:rsidP="094FF0F6" w:rsidRDefault="094FF0F6" w14:noSpellErr="1" w14:paraId="4305E0FA" w14:textId="7A0962B8">
            <w:pPr>
              <w:pStyle w:val="Caption"/>
            </w:pPr>
            <w:r w:rsidRPr="094FF0F6" w:rsidR="094FF0F6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[2]</w:t>
            </w:r>
          </w:p>
        </w:tc>
        <w:tc>
          <w:tcPr>
            <w:tcW w:w="5540" w:type="dxa"/>
            <w:tcMar/>
          </w:tcPr>
          <w:p w:rsidR="094FF0F6" w:rsidP="094FF0F6" w:rsidRDefault="094FF0F6" w14:noSpellErr="1" w14:paraId="184686EC" w14:textId="72E7497C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AKD4493S evaluation-board manual</w:t>
            </w:r>
          </w:p>
        </w:tc>
        <w:tc>
          <w:tcPr>
            <w:tcW w:w="3500" w:type="dxa"/>
            <w:tcMar/>
          </w:tcPr>
          <w:p w:rsidR="094FF0F6" w:rsidP="094FF0F6" w:rsidRDefault="094FF0F6" w14:noSpellErr="1" w14:paraId="4FA68889" w14:textId="6BC53040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AKM website (request form)</w:t>
            </w:r>
          </w:p>
        </w:tc>
      </w:tr>
      <w:tr w:rsidR="094FF0F6" w:rsidTr="094FF0F6" w14:paraId="7C321AD5">
        <w:tc>
          <w:tcPr>
            <w:tcW w:w="700" w:type="dxa"/>
            <w:tcMar/>
          </w:tcPr>
          <w:p w:rsidR="094FF0F6" w:rsidP="094FF0F6" w:rsidRDefault="094FF0F6" w14:noSpellErr="1" w14:paraId="72037330" w14:textId="02DA90B5">
            <w:pPr>
              <w:pStyle w:val="Caption"/>
            </w:pPr>
            <w:r w:rsidRPr="094FF0F6" w:rsidR="094FF0F6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[3]</w:t>
            </w:r>
          </w:p>
        </w:tc>
        <w:tc>
          <w:tcPr>
            <w:tcW w:w="5540" w:type="dxa"/>
            <w:tcMar/>
          </w:tcPr>
          <w:p w:rsidR="094FF0F6" w:rsidP="094FF0F6" w:rsidRDefault="094FF0F6" w14:noSpellErr="1" w14:paraId="2B40C5FE" w14:textId="7BB87779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XU316-1024-QF60B datasheet</w:t>
            </w:r>
          </w:p>
        </w:tc>
        <w:tc>
          <w:tcPr>
            <w:tcW w:w="3500" w:type="dxa"/>
            <w:tcMar/>
          </w:tcPr>
          <w:p w:rsidR="094FF0F6" w:rsidP="094FF0F6" w:rsidRDefault="094FF0F6" w14:noSpellErr="1" w14:paraId="7913AA6F" w14:textId="74965E3D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XMOS</w:t>
            </w:r>
          </w:p>
        </w:tc>
      </w:tr>
      <w:tr w:rsidR="094FF0F6" w:rsidTr="094FF0F6" w14:paraId="6A22009F">
        <w:tc>
          <w:tcPr>
            <w:tcW w:w="700" w:type="dxa"/>
            <w:tcMar/>
          </w:tcPr>
          <w:p w:rsidR="094FF0F6" w:rsidP="094FF0F6" w:rsidRDefault="094FF0F6" w14:noSpellErr="1" w14:paraId="69EFAAF5" w14:textId="0BABBEB2">
            <w:pPr>
              <w:pStyle w:val="Caption"/>
            </w:pPr>
            <w:r w:rsidRPr="094FF0F6" w:rsidR="094FF0F6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[4]</w:t>
            </w:r>
          </w:p>
        </w:tc>
        <w:tc>
          <w:tcPr>
            <w:tcW w:w="5540" w:type="dxa"/>
            <w:tcMar/>
          </w:tcPr>
          <w:p w:rsidR="094FF0F6" w:rsidP="094FF0F6" w:rsidRDefault="094FF0F6" w14:noSpellErr="1" w14:paraId="6574C82F" w14:textId="0489A576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sw_usb_audio reference firmware and reference design</w:t>
            </w:r>
          </w:p>
        </w:tc>
        <w:tc>
          <w:tcPr>
            <w:tcW w:w="3500" w:type="dxa"/>
            <w:tcMar/>
          </w:tcPr>
          <w:p w:rsidR="094FF0F6" w:rsidP="094FF0F6" w:rsidRDefault="094FF0F6" w14:noSpellErr="1" w14:paraId="26341FF0" w14:textId="7D678C3A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XMOS</w:t>
            </w:r>
          </w:p>
        </w:tc>
      </w:tr>
      <w:tr w:rsidR="094FF0F6" w:rsidTr="094FF0F6" w14:paraId="68D587EB">
        <w:tc>
          <w:tcPr>
            <w:tcW w:w="700" w:type="dxa"/>
            <w:tcMar/>
          </w:tcPr>
          <w:p w:rsidR="094FF0F6" w:rsidP="094FF0F6" w:rsidRDefault="094FF0F6" w14:noSpellErr="1" w14:paraId="441FD158" w14:textId="147CECAF">
            <w:pPr>
              <w:pStyle w:val="Caption"/>
            </w:pPr>
            <w:r w:rsidRPr="094FF0F6" w:rsidR="094FF0F6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[5]</w:t>
            </w:r>
          </w:p>
        </w:tc>
        <w:tc>
          <w:tcPr>
            <w:tcW w:w="5540" w:type="dxa"/>
            <w:tcMar/>
          </w:tcPr>
          <w:p w:rsidR="094FF0F6" w:rsidP="094FF0F6" w:rsidRDefault="094FF0F6" w14:noSpellErr="1" w14:paraId="439F9277" w14:textId="0D5AD373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OPA1622 datasheet</w:t>
            </w:r>
          </w:p>
        </w:tc>
        <w:tc>
          <w:tcPr>
            <w:tcW w:w="3500" w:type="dxa"/>
            <w:tcMar/>
          </w:tcPr>
          <w:p w:rsidR="094FF0F6" w:rsidP="094FF0F6" w:rsidRDefault="094FF0F6" w14:noSpellErr="1" w14:paraId="7CC29844" w14:textId="0638BA37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Texas Instruments</w:t>
            </w:r>
          </w:p>
        </w:tc>
      </w:tr>
    </w:tbl>
    <w:p w:rsidR="094FF0F6" w:rsidP="094FF0F6" w:rsidRDefault="094FF0F6" w14:noSpellErr="1" w14:paraId="3FEB31B9" w14:textId="11699AB1">
      <w:pPr>
        <w:pStyle w:val="Heading1"/>
      </w:pPr>
      <w:r w:rsidR="094FF0F6">
        <w:rPr/>
        <w:t>Appendix B. Revision 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300"/>
        <w:gridCol w:w="1800"/>
        <w:gridCol w:w="2000"/>
        <w:gridCol w:w="4640"/>
      </w:tblGrid>
      <w:tr w:rsidR="094FF0F6" w:rsidTr="094FF0F6" w14:paraId="5CE0A671">
        <w:trPr>
          <w:trHeight w:val="300"/>
        </w:trPr>
        <w:tc>
          <w:tcPr>
            <w:tcW w:w="1300" w:type="dxa"/>
            <w:tcMar/>
          </w:tcPr>
          <w:p w:rsidR="094FF0F6" w:rsidP="094FF0F6" w:rsidRDefault="094FF0F6" w14:noSpellErr="1" w14:paraId="692739AC" w14:textId="544A0993">
            <w:pPr>
              <w:pStyle w:val="Caption"/>
            </w:pPr>
            <w:r w:rsidRPr="094FF0F6" w:rsidR="094FF0F6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Version</w:t>
            </w:r>
          </w:p>
        </w:tc>
        <w:tc>
          <w:tcPr>
            <w:tcW w:w="1800" w:type="dxa"/>
            <w:tcMar/>
          </w:tcPr>
          <w:p w:rsidR="094FF0F6" w:rsidP="094FF0F6" w:rsidRDefault="094FF0F6" w14:noSpellErr="1" w14:paraId="501B08DA" w14:textId="4D27F057">
            <w:pPr>
              <w:pStyle w:val="Caption"/>
            </w:pPr>
            <w:r w:rsidRPr="094FF0F6" w:rsidR="094FF0F6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Date</w:t>
            </w:r>
          </w:p>
        </w:tc>
        <w:tc>
          <w:tcPr>
            <w:tcW w:w="2000" w:type="dxa"/>
            <w:tcMar/>
          </w:tcPr>
          <w:p w:rsidR="094FF0F6" w:rsidP="094FF0F6" w:rsidRDefault="094FF0F6" w14:noSpellErr="1" w14:paraId="7B60EBDE" w14:textId="4605D71B">
            <w:pPr>
              <w:pStyle w:val="Caption"/>
            </w:pPr>
            <w:r w:rsidRPr="094FF0F6" w:rsidR="094FF0F6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Author</w:t>
            </w:r>
          </w:p>
        </w:tc>
        <w:tc>
          <w:tcPr>
            <w:tcW w:w="4640" w:type="dxa"/>
            <w:tcMar/>
          </w:tcPr>
          <w:p w:rsidR="094FF0F6" w:rsidP="094FF0F6" w:rsidRDefault="094FF0F6" w14:noSpellErr="1" w14:paraId="34108C54" w14:textId="3EE3BDDF">
            <w:pPr>
              <w:pStyle w:val="Caption"/>
            </w:pPr>
            <w:r w:rsidRPr="094FF0F6" w:rsidR="094FF0F6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Description</w:t>
            </w:r>
          </w:p>
        </w:tc>
      </w:tr>
      <w:tr w:rsidR="094FF0F6" w:rsidTr="094FF0F6" w14:paraId="7BEDF23E">
        <w:tc>
          <w:tcPr>
            <w:tcW w:w="1300" w:type="dxa"/>
            <w:tcMar/>
          </w:tcPr>
          <w:p w:rsidR="094FF0F6" w:rsidP="094FF0F6" w:rsidRDefault="094FF0F6" w14:noSpellErr="1" w14:paraId="122B7EB2" w14:textId="55F91E54">
            <w:pPr>
              <w:pStyle w:val="Caption"/>
            </w:pPr>
            <w:r w:rsidRPr="094FF0F6" w:rsidR="094FF0F6">
              <w:rPr>
                <w:b w:val="1"/>
                <w:bCs w:val="1"/>
                <w:color w:val="1A1A1A" w:themeColor="text1" w:themeTint="FF" w:themeShade="FF"/>
                <w:sz w:val="17"/>
                <w:szCs w:val="17"/>
              </w:rPr>
              <w:t>v0.1</w:t>
            </w:r>
          </w:p>
        </w:tc>
        <w:tc>
          <w:tcPr>
            <w:tcW w:w="1800" w:type="dxa"/>
            <w:tcMar/>
          </w:tcPr>
          <w:p w:rsidR="094FF0F6" w:rsidP="094FF0F6" w:rsidRDefault="094FF0F6" w14:noSpellErr="1" w14:paraId="1A1716C3" w14:textId="4ED70518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23 Sep 2026</w:t>
            </w:r>
          </w:p>
        </w:tc>
        <w:tc>
          <w:tcPr>
            <w:tcW w:w="2000" w:type="dxa"/>
            <w:tcMar/>
          </w:tcPr>
          <w:p w:rsidR="094FF0F6" w:rsidP="094FF0F6" w:rsidRDefault="094FF0F6" w14:noSpellErr="1" w14:paraId="7D4E27A6" w14:textId="47B4EBDC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Diego Yang</w:t>
            </w:r>
          </w:p>
        </w:tc>
        <w:tc>
          <w:tcPr>
            <w:tcW w:w="4640" w:type="dxa"/>
            <w:tcMar/>
          </w:tcPr>
          <w:p w:rsidR="094FF0F6" w:rsidP="094FF0F6" w:rsidRDefault="094FF0F6" w14:noSpellErr="1" w14:paraId="69E545CB" w14:textId="4092D2A0">
            <w:pPr>
              <w:pStyle w:val="Caption"/>
            </w:pPr>
            <w:r w:rsidRPr="094FF0F6" w:rsidR="094FF0F6">
              <w:rPr>
                <w:b w:val="0"/>
                <w:bCs w:val="0"/>
                <w:color w:val="1A1A1A" w:themeColor="text1" w:themeTint="FF" w:themeShade="FF"/>
                <w:sz w:val="17"/>
                <w:szCs w:val="17"/>
              </w:rPr>
              <w:t>Draft for review</w:t>
            </w:r>
          </w:p>
        </w:tc>
      </w:tr>
    </w:tbl>
    <w:sectPr w:rsidR="05005C2C" w:rsidSect="00034616">
      <w:headerReference w:type="default" r:id="rId8"/>
      <w:pgSz w:w="11906" w:h="16838" w:orient="portrait"/>
      <w:pgMar w:top="1152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180C" w:rsidRDefault="00E0180C" w14:paraId="3A3DB18C" w14:textId="77777777">
      <w:pPr>
        <w:spacing w:after="0" w:line="240" w:lineRule="auto"/>
      </w:pPr>
      <w:r>
        <w:separator/>
      </w:r>
    </w:p>
  </w:endnote>
  <w:endnote w:type="continuationSeparator" w:id="0">
    <w:p w:rsidR="00E0180C" w:rsidRDefault="00E0180C" w14:paraId="527F30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180C" w:rsidRDefault="00E0180C" w14:paraId="3E1DA0A5" w14:textId="77777777">
      <w:pPr>
        <w:spacing w:after="0" w:line="240" w:lineRule="auto"/>
      </w:pPr>
      <w:r>
        <w:separator/>
      </w:r>
    </w:p>
  </w:footnote>
  <w:footnote w:type="continuationSeparator" w:id="0">
    <w:p w:rsidR="00E0180C" w:rsidRDefault="00E0180C" w14:paraId="1030E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5005C2C" w:rsidRDefault="05005C2C" w14:paraId="5899CD40" w14:textId="6BFEC01D">
    <w:r>
      <w:t>USB DAC + Balanced Headphone Amplifier · Design Specification v0.1 (draft for review)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749813988">
    <w:abstractNumId w:val="8"/>
  </w:num>
  <w:num w:numId="2" w16cid:durableId="1041712997">
    <w:abstractNumId w:val="6"/>
  </w:num>
  <w:num w:numId="3" w16cid:durableId="1432360214">
    <w:abstractNumId w:val="5"/>
  </w:num>
  <w:num w:numId="4" w16cid:durableId="1537889993">
    <w:abstractNumId w:val="4"/>
  </w:num>
  <w:num w:numId="5" w16cid:durableId="2094935535">
    <w:abstractNumId w:val="7"/>
  </w:num>
  <w:num w:numId="6" w16cid:durableId="903179977">
    <w:abstractNumId w:val="3"/>
  </w:num>
  <w:num w:numId="7" w16cid:durableId="1997764211">
    <w:abstractNumId w:val="2"/>
  </w:num>
  <w:num w:numId="8" w16cid:durableId="393158532">
    <w:abstractNumId w:val="1"/>
  </w:num>
  <w:num w:numId="9" w16cid:durableId="85703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CA89"/>
    <w:rsid w:val="0029639D"/>
    <w:rsid w:val="00326F90"/>
    <w:rsid w:val="0036E619"/>
    <w:rsid w:val="003FAB76"/>
    <w:rsid w:val="004AE0C7"/>
    <w:rsid w:val="00553142"/>
    <w:rsid w:val="00A720F7"/>
    <w:rsid w:val="00AA1D8D"/>
    <w:rsid w:val="00AD4026"/>
    <w:rsid w:val="00B47730"/>
    <w:rsid w:val="00CB0664"/>
    <w:rsid w:val="00E0180C"/>
    <w:rsid w:val="00FC693F"/>
    <w:rsid w:val="0126AE96"/>
    <w:rsid w:val="0126AE96"/>
    <w:rsid w:val="0127A98C"/>
    <w:rsid w:val="01C31E03"/>
    <w:rsid w:val="01E2EAC0"/>
    <w:rsid w:val="026228FA"/>
    <w:rsid w:val="02782739"/>
    <w:rsid w:val="028E2BE0"/>
    <w:rsid w:val="02CBB027"/>
    <w:rsid w:val="02FF3BF2"/>
    <w:rsid w:val="030A09A7"/>
    <w:rsid w:val="0312C770"/>
    <w:rsid w:val="038E62A4"/>
    <w:rsid w:val="03AB5306"/>
    <w:rsid w:val="03D15FB9"/>
    <w:rsid w:val="0401EEB5"/>
    <w:rsid w:val="047DF6E6"/>
    <w:rsid w:val="04C8662B"/>
    <w:rsid w:val="05005C2C"/>
    <w:rsid w:val="05689873"/>
    <w:rsid w:val="06CA9F7A"/>
    <w:rsid w:val="06F69528"/>
    <w:rsid w:val="070EA938"/>
    <w:rsid w:val="07AE3294"/>
    <w:rsid w:val="0826FC10"/>
    <w:rsid w:val="0826FC10"/>
    <w:rsid w:val="085534CC"/>
    <w:rsid w:val="08950C96"/>
    <w:rsid w:val="08DD115E"/>
    <w:rsid w:val="0916E565"/>
    <w:rsid w:val="094FF0F6"/>
    <w:rsid w:val="0A5A1EAE"/>
    <w:rsid w:val="0A5A1EAE"/>
    <w:rsid w:val="0ABA0CEF"/>
    <w:rsid w:val="0AC7815C"/>
    <w:rsid w:val="0B1D317C"/>
    <w:rsid w:val="0B242182"/>
    <w:rsid w:val="0B6C2388"/>
    <w:rsid w:val="0B77C977"/>
    <w:rsid w:val="0BE71FE6"/>
    <w:rsid w:val="0BE9EF5B"/>
    <w:rsid w:val="0C533442"/>
    <w:rsid w:val="0C533442"/>
    <w:rsid w:val="0C6F338C"/>
    <w:rsid w:val="0C774125"/>
    <w:rsid w:val="0CA2821B"/>
    <w:rsid w:val="0CA2821B"/>
    <w:rsid w:val="0D20A0B3"/>
    <w:rsid w:val="0E364A3C"/>
    <w:rsid w:val="0EB44D51"/>
    <w:rsid w:val="0EE21679"/>
    <w:rsid w:val="0EFF56EB"/>
    <w:rsid w:val="0F03F777"/>
    <w:rsid w:val="0F1895D5"/>
    <w:rsid w:val="0F2D5F36"/>
    <w:rsid w:val="0F2D5F36"/>
    <w:rsid w:val="0F540080"/>
    <w:rsid w:val="0F540080"/>
    <w:rsid w:val="0F607D8F"/>
    <w:rsid w:val="0F607D8F"/>
    <w:rsid w:val="0F9C2994"/>
    <w:rsid w:val="0FB67CA7"/>
    <w:rsid w:val="10243C5E"/>
    <w:rsid w:val="10803821"/>
    <w:rsid w:val="1083CB7D"/>
    <w:rsid w:val="112001C4"/>
    <w:rsid w:val="1197DC70"/>
    <w:rsid w:val="11F5088B"/>
    <w:rsid w:val="121EB3D9"/>
    <w:rsid w:val="1369DDEE"/>
    <w:rsid w:val="142EC8BB"/>
    <w:rsid w:val="142EC8BB"/>
    <w:rsid w:val="151678C0"/>
    <w:rsid w:val="15D6EA8A"/>
    <w:rsid w:val="15D6EA8A"/>
    <w:rsid w:val="162DB472"/>
    <w:rsid w:val="162DB472"/>
    <w:rsid w:val="1642C7E7"/>
    <w:rsid w:val="1704F0B0"/>
    <w:rsid w:val="17459BC1"/>
    <w:rsid w:val="174D5190"/>
    <w:rsid w:val="181C7C76"/>
    <w:rsid w:val="1884B085"/>
    <w:rsid w:val="1884B085"/>
    <w:rsid w:val="18BCBB4B"/>
    <w:rsid w:val="1909AB48"/>
    <w:rsid w:val="195F7D61"/>
    <w:rsid w:val="199F002E"/>
    <w:rsid w:val="19D3C236"/>
    <w:rsid w:val="19F62171"/>
    <w:rsid w:val="19FFDF6C"/>
    <w:rsid w:val="1A116795"/>
    <w:rsid w:val="1A1FA9D1"/>
    <w:rsid w:val="1A87A43F"/>
    <w:rsid w:val="1AABA355"/>
    <w:rsid w:val="1AF0F4DD"/>
    <w:rsid w:val="1B39F74A"/>
    <w:rsid w:val="1B5892ED"/>
    <w:rsid w:val="1B5D06E3"/>
    <w:rsid w:val="1BE8A587"/>
    <w:rsid w:val="1BEA76E6"/>
    <w:rsid w:val="1C556CF9"/>
    <w:rsid w:val="1C87D293"/>
    <w:rsid w:val="1CF013CF"/>
    <w:rsid w:val="1CF013CF"/>
    <w:rsid w:val="1D0A0DDB"/>
    <w:rsid w:val="1D1FF413"/>
    <w:rsid w:val="1D2284BB"/>
    <w:rsid w:val="1D96BA85"/>
    <w:rsid w:val="1D990BD8"/>
    <w:rsid w:val="1EFEB9B8"/>
    <w:rsid w:val="1F1FC40A"/>
    <w:rsid w:val="1F2F6A8E"/>
    <w:rsid w:val="2027EE43"/>
    <w:rsid w:val="20414B98"/>
    <w:rsid w:val="20574BFD"/>
    <w:rsid w:val="20A6617A"/>
    <w:rsid w:val="20D66471"/>
    <w:rsid w:val="20F6631B"/>
    <w:rsid w:val="224310D6"/>
    <w:rsid w:val="22C82FE2"/>
    <w:rsid w:val="23236AB7"/>
    <w:rsid w:val="23CFD3C6"/>
    <w:rsid w:val="246C4182"/>
    <w:rsid w:val="253717C0"/>
    <w:rsid w:val="2565DB33"/>
    <w:rsid w:val="25CDC98F"/>
    <w:rsid w:val="268C55FD"/>
    <w:rsid w:val="26C8377B"/>
    <w:rsid w:val="27693D5F"/>
    <w:rsid w:val="276AF870"/>
    <w:rsid w:val="2838B6C8"/>
    <w:rsid w:val="286DD6E0"/>
    <w:rsid w:val="28DFFD29"/>
    <w:rsid w:val="28FCB3ED"/>
    <w:rsid w:val="292015AA"/>
    <w:rsid w:val="2955012B"/>
    <w:rsid w:val="29D847B5"/>
    <w:rsid w:val="2B0127CA"/>
    <w:rsid w:val="2B0A5ED9"/>
    <w:rsid w:val="2B295956"/>
    <w:rsid w:val="2B65A343"/>
    <w:rsid w:val="2B6982DB"/>
    <w:rsid w:val="2C1D7358"/>
    <w:rsid w:val="2C1FD980"/>
    <w:rsid w:val="2C3A784D"/>
    <w:rsid w:val="2CC5D86F"/>
    <w:rsid w:val="2CE185AC"/>
    <w:rsid w:val="2D01E251"/>
    <w:rsid w:val="2D2A5641"/>
    <w:rsid w:val="2D52D15F"/>
    <w:rsid w:val="2D866319"/>
    <w:rsid w:val="2D9A7D3A"/>
    <w:rsid w:val="2DEF3CED"/>
    <w:rsid w:val="2E0D7148"/>
    <w:rsid w:val="2E3EEB5E"/>
    <w:rsid w:val="2E49B04C"/>
    <w:rsid w:val="2E51FC05"/>
    <w:rsid w:val="2E9ED993"/>
    <w:rsid w:val="2EAE39BA"/>
    <w:rsid w:val="2EAEDDFA"/>
    <w:rsid w:val="2EBA8276"/>
    <w:rsid w:val="2FD0C917"/>
    <w:rsid w:val="2FD1622B"/>
    <w:rsid w:val="2FF145B9"/>
    <w:rsid w:val="2FF753E5"/>
    <w:rsid w:val="30BCEBB0"/>
    <w:rsid w:val="30DCAD31"/>
    <w:rsid w:val="31EE0BAE"/>
    <w:rsid w:val="3228C7B3"/>
    <w:rsid w:val="32AB7F66"/>
    <w:rsid w:val="32AC56BD"/>
    <w:rsid w:val="32BFBC8E"/>
    <w:rsid w:val="32E5E851"/>
    <w:rsid w:val="330A89EA"/>
    <w:rsid w:val="330A89EA"/>
    <w:rsid w:val="3322449D"/>
    <w:rsid w:val="33F7E20F"/>
    <w:rsid w:val="3485786C"/>
    <w:rsid w:val="3493100D"/>
    <w:rsid w:val="349A567A"/>
    <w:rsid w:val="35353F71"/>
    <w:rsid w:val="35C67151"/>
    <w:rsid w:val="35E9C092"/>
    <w:rsid w:val="3627D669"/>
    <w:rsid w:val="36F6C7E3"/>
    <w:rsid w:val="36F6C7E3"/>
    <w:rsid w:val="37022D5A"/>
    <w:rsid w:val="371BEB63"/>
    <w:rsid w:val="372A87D0"/>
    <w:rsid w:val="372A87D0"/>
    <w:rsid w:val="37AAD6B2"/>
    <w:rsid w:val="37B73F6C"/>
    <w:rsid w:val="3821B147"/>
    <w:rsid w:val="383BE00D"/>
    <w:rsid w:val="383BE00D"/>
    <w:rsid w:val="38734EEC"/>
    <w:rsid w:val="38B0949E"/>
    <w:rsid w:val="39199843"/>
    <w:rsid w:val="39199843"/>
    <w:rsid w:val="39768D6F"/>
    <w:rsid w:val="39B0354B"/>
    <w:rsid w:val="39B19BA1"/>
    <w:rsid w:val="39B98BBC"/>
    <w:rsid w:val="3A6044F1"/>
    <w:rsid w:val="3AC4BB19"/>
    <w:rsid w:val="3B01C062"/>
    <w:rsid w:val="3B1E14D0"/>
    <w:rsid w:val="3B4201B7"/>
    <w:rsid w:val="3B4201B7"/>
    <w:rsid w:val="3BB8E224"/>
    <w:rsid w:val="3BC9DAB9"/>
    <w:rsid w:val="3BCAEE0D"/>
    <w:rsid w:val="3BD3510F"/>
    <w:rsid w:val="3BFF6546"/>
    <w:rsid w:val="3C051E55"/>
    <w:rsid w:val="3D1D04C0"/>
    <w:rsid w:val="3D1D04C0"/>
    <w:rsid w:val="3D60DD39"/>
    <w:rsid w:val="3DE2C2A7"/>
    <w:rsid w:val="3DE2C2A7"/>
    <w:rsid w:val="3E4D19F7"/>
    <w:rsid w:val="3E52C431"/>
    <w:rsid w:val="3F3A87D5"/>
    <w:rsid w:val="3FC97366"/>
    <w:rsid w:val="4017B61F"/>
    <w:rsid w:val="4047E194"/>
    <w:rsid w:val="40D989ED"/>
    <w:rsid w:val="40F5BFCE"/>
    <w:rsid w:val="40FD705C"/>
    <w:rsid w:val="41417899"/>
    <w:rsid w:val="417AC594"/>
    <w:rsid w:val="419E1AA6"/>
    <w:rsid w:val="419E1AA6"/>
    <w:rsid w:val="42B2F46F"/>
    <w:rsid w:val="42C9A8C5"/>
    <w:rsid w:val="42FD3AD7"/>
    <w:rsid w:val="432E837C"/>
    <w:rsid w:val="434ED69F"/>
    <w:rsid w:val="434ED69F"/>
    <w:rsid w:val="43FB921C"/>
    <w:rsid w:val="44758E51"/>
    <w:rsid w:val="4477015B"/>
    <w:rsid w:val="44899E8E"/>
    <w:rsid w:val="44FF02D4"/>
    <w:rsid w:val="4580F862"/>
    <w:rsid w:val="45BAB75C"/>
    <w:rsid w:val="45F1F29D"/>
    <w:rsid w:val="46C66E98"/>
    <w:rsid w:val="472D5CE7"/>
    <w:rsid w:val="473929BB"/>
    <w:rsid w:val="47399848"/>
    <w:rsid w:val="47436AED"/>
    <w:rsid w:val="476F298B"/>
    <w:rsid w:val="48691C80"/>
    <w:rsid w:val="487771ED"/>
    <w:rsid w:val="48F23263"/>
    <w:rsid w:val="49274205"/>
    <w:rsid w:val="4933A0D7"/>
    <w:rsid w:val="495C5611"/>
    <w:rsid w:val="495C5611"/>
    <w:rsid w:val="4AC2BDC4"/>
    <w:rsid w:val="4AE2DE36"/>
    <w:rsid w:val="4B048961"/>
    <w:rsid w:val="4B0D622D"/>
    <w:rsid w:val="4B36D48E"/>
    <w:rsid w:val="4BD1B849"/>
    <w:rsid w:val="4BEB8DB3"/>
    <w:rsid w:val="4CA51385"/>
    <w:rsid w:val="4CD49B63"/>
    <w:rsid w:val="4D388C72"/>
    <w:rsid w:val="4E0B9101"/>
    <w:rsid w:val="4E6BC80A"/>
    <w:rsid w:val="4FABAE1D"/>
    <w:rsid w:val="4FABAE1D"/>
    <w:rsid w:val="4FC4919D"/>
    <w:rsid w:val="4FCE11F6"/>
    <w:rsid w:val="4FFB61AE"/>
    <w:rsid w:val="50173EFB"/>
    <w:rsid w:val="503FC7F1"/>
    <w:rsid w:val="5053F36C"/>
    <w:rsid w:val="5070AC76"/>
    <w:rsid w:val="50A85500"/>
    <w:rsid w:val="50A85500"/>
    <w:rsid w:val="50A8623A"/>
    <w:rsid w:val="50C6929E"/>
    <w:rsid w:val="50FFFC3E"/>
    <w:rsid w:val="510CAC21"/>
    <w:rsid w:val="512E1E26"/>
    <w:rsid w:val="5192BAC1"/>
    <w:rsid w:val="51933008"/>
    <w:rsid w:val="51C8EDB3"/>
    <w:rsid w:val="51D1FEBC"/>
    <w:rsid w:val="521911BB"/>
    <w:rsid w:val="534A4B50"/>
    <w:rsid w:val="53538ECA"/>
    <w:rsid w:val="53DB56A3"/>
    <w:rsid w:val="53DB56A3"/>
    <w:rsid w:val="549236CC"/>
    <w:rsid w:val="54933346"/>
    <w:rsid w:val="551F706C"/>
    <w:rsid w:val="55CAF864"/>
    <w:rsid w:val="56555D45"/>
    <w:rsid w:val="56634089"/>
    <w:rsid w:val="569C7A3D"/>
    <w:rsid w:val="5796DBC6"/>
    <w:rsid w:val="57A6586D"/>
    <w:rsid w:val="57ACE33C"/>
    <w:rsid w:val="57E0C947"/>
    <w:rsid w:val="57F72440"/>
    <w:rsid w:val="58388B14"/>
    <w:rsid w:val="5845939C"/>
    <w:rsid w:val="587D11D0"/>
    <w:rsid w:val="5887131B"/>
    <w:rsid w:val="58E5EAB0"/>
    <w:rsid w:val="58EC0BF8"/>
    <w:rsid w:val="58EC0BF8"/>
    <w:rsid w:val="58F8DDCD"/>
    <w:rsid w:val="591C6577"/>
    <w:rsid w:val="593985FD"/>
    <w:rsid w:val="595164CF"/>
    <w:rsid w:val="5991EC19"/>
    <w:rsid w:val="5A0246B8"/>
    <w:rsid w:val="5A4FCD04"/>
    <w:rsid w:val="5B8C204A"/>
    <w:rsid w:val="5BAE4C56"/>
    <w:rsid w:val="5BAE4C56"/>
    <w:rsid w:val="5C36BA0C"/>
    <w:rsid w:val="5C44DF3F"/>
    <w:rsid w:val="5C504173"/>
    <w:rsid w:val="5C504173"/>
    <w:rsid w:val="5C9D1AA1"/>
    <w:rsid w:val="5CA9135B"/>
    <w:rsid w:val="5D0F2240"/>
    <w:rsid w:val="5D295A2E"/>
    <w:rsid w:val="5D295A2E"/>
    <w:rsid w:val="5D47887F"/>
    <w:rsid w:val="5D5841BB"/>
    <w:rsid w:val="5D5841BB"/>
    <w:rsid w:val="5D68C3F6"/>
    <w:rsid w:val="5D83BD04"/>
    <w:rsid w:val="5D83BD04"/>
    <w:rsid w:val="5DBE18F1"/>
    <w:rsid w:val="5DCABF5A"/>
    <w:rsid w:val="5DD70E29"/>
    <w:rsid w:val="5E6257AE"/>
    <w:rsid w:val="5E83DA7A"/>
    <w:rsid w:val="5EEFDEEF"/>
    <w:rsid w:val="5F66C9B5"/>
    <w:rsid w:val="5F892765"/>
    <w:rsid w:val="5F963FE9"/>
    <w:rsid w:val="5FE329B1"/>
    <w:rsid w:val="5FEA6D3E"/>
    <w:rsid w:val="6126CC02"/>
    <w:rsid w:val="618CC1A8"/>
    <w:rsid w:val="619453B6"/>
    <w:rsid w:val="619453B6"/>
    <w:rsid w:val="61F4C417"/>
    <w:rsid w:val="62446580"/>
    <w:rsid w:val="6270E06E"/>
    <w:rsid w:val="62768C98"/>
    <w:rsid w:val="62A5AAC4"/>
    <w:rsid w:val="62AC8752"/>
    <w:rsid w:val="62DBF5F1"/>
    <w:rsid w:val="63A0AC6B"/>
    <w:rsid w:val="6444C381"/>
    <w:rsid w:val="64A3D614"/>
    <w:rsid w:val="64C2E4FE"/>
    <w:rsid w:val="6545E5F9"/>
    <w:rsid w:val="658CDF1F"/>
    <w:rsid w:val="6594FBCE"/>
    <w:rsid w:val="65EF60FD"/>
    <w:rsid w:val="66690AEB"/>
    <w:rsid w:val="666A347D"/>
    <w:rsid w:val="66DEB202"/>
    <w:rsid w:val="67E9A8FE"/>
    <w:rsid w:val="67E9A8FE"/>
    <w:rsid w:val="67EB5F65"/>
    <w:rsid w:val="6801D545"/>
    <w:rsid w:val="6801D545"/>
    <w:rsid w:val="68199A73"/>
    <w:rsid w:val="685EEC6C"/>
    <w:rsid w:val="6862426D"/>
    <w:rsid w:val="6862426D"/>
    <w:rsid w:val="6882AC1E"/>
    <w:rsid w:val="68ACDB52"/>
    <w:rsid w:val="68ACDB52"/>
    <w:rsid w:val="69ABFA0C"/>
    <w:rsid w:val="69F0CBF3"/>
    <w:rsid w:val="6A716155"/>
    <w:rsid w:val="6AAC2025"/>
    <w:rsid w:val="6AAC2025"/>
    <w:rsid w:val="6ADB02DB"/>
    <w:rsid w:val="6ADBF509"/>
    <w:rsid w:val="6AECEAF4"/>
    <w:rsid w:val="6AFC5B5C"/>
    <w:rsid w:val="6B279923"/>
    <w:rsid w:val="6BB7F2B6"/>
    <w:rsid w:val="6BDA988D"/>
    <w:rsid w:val="6BEA4635"/>
    <w:rsid w:val="6C4B7057"/>
    <w:rsid w:val="6C9A19D4"/>
    <w:rsid w:val="6CDACFB5"/>
    <w:rsid w:val="6D53E201"/>
    <w:rsid w:val="6D56F207"/>
    <w:rsid w:val="6E568DB2"/>
    <w:rsid w:val="6E94396C"/>
    <w:rsid w:val="6E94396C"/>
    <w:rsid w:val="6EC7B901"/>
    <w:rsid w:val="6F56E451"/>
    <w:rsid w:val="6F59AA76"/>
    <w:rsid w:val="6FDA8486"/>
    <w:rsid w:val="6FF2791D"/>
    <w:rsid w:val="703E74CD"/>
    <w:rsid w:val="707E5C11"/>
    <w:rsid w:val="707E5C11"/>
    <w:rsid w:val="707EA748"/>
    <w:rsid w:val="711DAE87"/>
    <w:rsid w:val="71B8E1B0"/>
    <w:rsid w:val="71B8E1B0"/>
    <w:rsid w:val="71C8E6F0"/>
    <w:rsid w:val="721CE950"/>
    <w:rsid w:val="724DDEF5"/>
    <w:rsid w:val="729387B2"/>
    <w:rsid w:val="72DDE2BE"/>
    <w:rsid w:val="7331B430"/>
    <w:rsid w:val="73899DE6"/>
    <w:rsid w:val="73A343AA"/>
    <w:rsid w:val="74B684C6"/>
    <w:rsid w:val="75A7D108"/>
    <w:rsid w:val="75C1F6C8"/>
    <w:rsid w:val="75C1F6C8"/>
    <w:rsid w:val="75E60A3B"/>
    <w:rsid w:val="75E75EF1"/>
    <w:rsid w:val="7621F1BE"/>
    <w:rsid w:val="773F55DE"/>
    <w:rsid w:val="773F55DE"/>
    <w:rsid w:val="773FC325"/>
    <w:rsid w:val="7745430A"/>
    <w:rsid w:val="7771D704"/>
    <w:rsid w:val="777AAEA4"/>
    <w:rsid w:val="778EE53E"/>
    <w:rsid w:val="7869BFF1"/>
    <w:rsid w:val="791873DE"/>
    <w:rsid w:val="7935AEF2"/>
    <w:rsid w:val="79D6199B"/>
    <w:rsid w:val="79DB9F50"/>
    <w:rsid w:val="7A2E5DF7"/>
    <w:rsid w:val="7AA48B3A"/>
    <w:rsid w:val="7AAFAF1B"/>
    <w:rsid w:val="7B6CB61B"/>
    <w:rsid w:val="7B779737"/>
    <w:rsid w:val="7B8D81A7"/>
    <w:rsid w:val="7BB689B3"/>
    <w:rsid w:val="7BC993D3"/>
    <w:rsid w:val="7BE8B50B"/>
    <w:rsid w:val="7C13C126"/>
    <w:rsid w:val="7C169753"/>
    <w:rsid w:val="7C910E6F"/>
    <w:rsid w:val="7CA39AD7"/>
    <w:rsid w:val="7CA39AD7"/>
    <w:rsid w:val="7CAE50BF"/>
    <w:rsid w:val="7CCA885C"/>
    <w:rsid w:val="7D1AF5E0"/>
    <w:rsid w:val="7D7008EE"/>
    <w:rsid w:val="7D9C11BC"/>
    <w:rsid w:val="7DDE5A12"/>
    <w:rsid w:val="7E877FBF"/>
    <w:rsid w:val="7EB42E3C"/>
    <w:rsid w:val="7EC79A09"/>
    <w:rsid w:val="7F1BD81D"/>
    <w:rsid w:val="7FA8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3D0612-3D79-4FAF-9B04-8ECC14B2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A5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F4E7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F263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F26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35353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1F4E7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35353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173A5A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1F4E79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1F4E7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1F4E79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A5A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A5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1F4E79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1F4E7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A1A1A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1A1A1A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1F4E79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0F263C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0F263C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535353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1F4E79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535353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F4E7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1F4E79" w:themeColor="accent1" w:sz="4" w:space="4"/>
      </w:pBdr>
      <w:spacing w:before="200" w:after="280"/>
      <w:ind w:left="936" w:right="936"/>
    </w:pPr>
    <w:rPr>
      <w:b/>
      <w:bCs/>
      <w:i/>
      <w:iCs/>
      <w:color w:val="1F4E79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1F4E7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C8C8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F4E7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9595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9595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131313" w:themeColor="text1" w:themeShade="BF"/>
    </w:rPr>
    <w:tblPr>
      <w:tblStyleRowBandSize w:val="1"/>
      <w:tblStyleColBandSize w:val="1"/>
      <w:tblBorders>
        <w:top w:val="single" w:color="1A1A1A" w:themeColor="text1" w:sz="8" w:space="0"/>
        <w:bottom w:val="single" w:color="1A1A1A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A1A1A" w:themeColor="text1" w:sz="8" w:space="0"/>
          <w:left w:val="nil"/>
          <w:bottom w:val="single" w:color="1A1A1A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A1A1A" w:themeColor="text1" w:sz="8" w:space="0"/>
          <w:left w:val="nil"/>
          <w:bottom w:val="single" w:color="1A1A1A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73A5A" w:themeColor="accent1" w:themeShade="BF"/>
    </w:rPr>
    <w:tblPr>
      <w:tblStyleRowBandSize w:val="1"/>
      <w:tblStyleColBandSize w:val="1"/>
      <w:tblBorders>
        <w:top w:val="single" w:color="1F4E79" w:themeColor="accent1" w:sz="8" w:space="0"/>
        <w:bottom w:val="single" w:color="1F4E7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1" w:sz="8" w:space="0"/>
          <w:left w:val="nil"/>
          <w:bottom w:val="single" w:color="1F4E79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1" w:sz="8" w:space="0"/>
          <w:left w:val="nil"/>
          <w:bottom w:val="single" w:color="1F4E79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424242" w:themeColor="accent2" w:themeShade="BF"/>
    </w:rPr>
    <w:tblPr>
      <w:tblStyleRowBandSize w:val="1"/>
      <w:tblStyleColBandSize w:val="1"/>
      <w:tblBorders>
        <w:top w:val="single" w:color="595959" w:themeColor="accent2" w:sz="8" w:space="0"/>
        <w:bottom w:val="single" w:color="595959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95959" w:themeColor="accent2" w:sz="8" w:space="0"/>
          <w:left w:val="nil"/>
          <w:bottom w:val="single" w:color="595959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95959" w:themeColor="accent2" w:sz="8" w:space="0"/>
          <w:left w:val="nil"/>
          <w:bottom w:val="single" w:color="595959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73A5A" w:themeColor="accent3" w:themeShade="BF"/>
    </w:rPr>
    <w:tblPr>
      <w:tblStyleRowBandSize w:val="1"/>
      <w:tblStyleColBandSize w:val="1"/>
      <w:tblBorders>
        <w:top w:val="single" w:color="1F4E79" w:themeColor="accent3" w:sz="8" w:space="0"/>
        <w:bottom w:val="single" w:color="1F4E7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3" w:sz="8" w:space="0"/>
          <w:left w:val="nil"/>
          <w:bottom w:val="single" w:color="1F4E7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3" w:sz="8" w:space="0"/>
          <w:left w:val="nil"/>
          <w:bottom w:val="single" w:color="1F4E7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73A5A" w:themeColor="accent4" w:themeShade="BF"/>
    </w:rPr>
    <w:tblPr>
      <w:tblStyleRowBandSize w:val="1"/>
      <w:tblStyleColBandSize w:val="1"/>
      <w:tblBorders>
        <w:top w:val="single" w:color="1F4E79" w:themeColor="accent4" w:sz="8" w:space="0"/>
        <w:bottom w:val="single" w:color="1F4E79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4" w:sz="8" w:space="0"/>
          <w:left w:val="nil"/>
          <w:bottom w:val="single" w:color="1F4E79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4" w:sz="8" w:space="0"/>
          <w:left w:val="nil"/>
          <w:bottom w:val="single" w:color="1F4E79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73A5A" w:themeColor="accent5" w:themeShade="BF"/>
    </w:rPr>
    <w:tblPr>
      <w:tblStyleRowBandSize w:val="1"/>
      <w:tblStyleColBandSize w:val="1"/>
      <w:tblBorders>
        <w:top w:val="single" w:color="1F4E79" w:themeColor="accent5" w:sz="8" w:space="0"/>
        <w:bottom w:val="single" w:color="1F4E7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5" w:sz="8" w:space="0"/>
          <w:left w:val="nil"/>
          <w:bottom w:val="single" w:color="1F4E7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5" w:sz="8" w:space="0"/>
          <w:left w:val="nil"/>
          <w:bottom w:val="single" w:color="1F4E7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73A5A" w:themeColor="accent6" w:themeShade="BF"/>
    </w:rPr>
    <w:tblPr>
      <w:tblStyleRowBandSize w:val="1"/>
      <w:tblStyleColBandSize w:val="1"/>
      <w:tblBorders>
        <w:top w:val="single" w:color="1F4E79" w:themeColor="accent6" w:sz="8" w:space="0"/>
        <w:bottom w:val="single" w:color="1F4E7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6" w:sz="8" w:space="0"/>
          <w:left w:val="nil"/>
          <w:bottom w:val="single" w:color="1F4E79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F4E79" w:themeColor="accent6" w:sz="8" w:space="0"/>
          <w:left w:val="nil"/>
          <w:bottom w:val="single" w:color="1F4E79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1A1A1A" w:themeColor="text1" w:sz="8" w:space="0"/>
        <w:left w:val="single" w:color="1A1A1A" w:themeColor="text1" w:sz="8" w:space="0"/>
        <w:bottom w:val="single" w:color="1A1A1A" w:themeColor="text1" w:sz="8" w:space="0"/>
        <w:right w:val="single" w:color="1A1A1A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A1A1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A1A1A" w:themeColor="text1" w:sz="6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A1A1A" w:themeColor="text1" w:sz="8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</w:tcBorders>
      </w:tcPr>
    </w:tblStylePr>
    <w:tblStylePr w:type="band1Horz">
      <w:tblPr/>
      <w:tcPr>
        <w:tcBorders>
          <w:top w:val="single" w:color="1A1A1A" w:themeColor="text1" w:sz="8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1F4E79" w:themeColor="accent1" w:sz="8" w:space="0"/>
        <w:left w:val="single" w:color="1F4E79" w:themeColor="accent1" w:sz="8" w:space="0"/>
        <w:bottom w:val="single" w:color="1F4E79" w:themeColor="accent1" w:sz="8" w:space="0"/>
        <w:right w:val="single" w:color="1F4E7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4E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F4E79" w:themeColor="accent1" w:sz="6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F4E79" w:themeColor="accent1" w:sz="8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</w:tcBorders>
      </w:tcPr>
    </w:tblStylePr>
    <w:tblStylePr w:type="band1Horz">
      <w:tblPr/>
      <w:tcPr>
        <w:tcBorders>
          <w:top w:val="single" w:color="1F4E79" w:themeColor="accent1" w:sz="8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595959" w:themeColor="accent2" w:sz="8" w:space="0"/>
        <w:left w:val="single" w:color="595959" w:themeColor="accent2" w:sz="8" w:space="0"/>
        <w:bottom w:val="single" w:color="595959" w:themeColor="accent2" w:sz="8" w:space="0"/>
        <w:right w:val="single" w:color="595959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595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95959" w:themeColor="accent2" w:sz="6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95959" w:themeColor="accent2" w:sz="8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</w:tcBorders>
      </w:tcPr>
    </w:tblStylePr>
    <w:tblStylePr w:type="band1Horz">
      <w:tblPr/>
      <w:tcPr>
        <w:tcBorders>
          <w:top w:val="single" w:color="595959" w:themeColor="accent2" w:sz="8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3" w:sz="8" w:space="0"/>
        <w:left w:val="single" w:color="1F4E79" w:themeColor="accent3" w:sz="8" w:space="0"/>
        <w:bottom w:val="single" w:color="1F4E79" w:themeColor="accent3" w:sz="8" w:space="0"/>
        <w:right w:val="single" w:color="1F4E7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4E7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F4E79" w:themeColor="accent3" w:sz="6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F4E79" w:themeColor="accent3" w:sz="8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</w:tcBorders>
      </w:tcPr>
    </w:tblStylePr>
    <w:tblStylePr w:type="band1Horz">
      <w:tblPr/>
      <w:tcPr>
        <w:tcBorders>
          <w:top w:val="single" w:color="1F4E79" w:themeColor="accent3" w:sz="8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4" w:sz="8" w:space="0"/>
        <w:left w:val="single" w:color="1F4E79" w:themeColor="accent4" w:sz="8" w:space="0"/>
        <w:bottom w:val="single" w:color="1F4E79" w:themeColor="accent4" w:sz="8" w:space="0"/>
        <w:right w:val="single" w:color="1F4E79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4E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F4E79" w:themeColor="accent4" w:sz="6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F4E79" w:themeColor="accent4" w:sz="8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</w:tcBorders>
      </w:tcPr>
    </w:tblStylePr>
    <w:tblStylePr w:type="band1Horz">
      <w:tblPr/>
      <w:tcPr>
        <w:tcBorders>
          <w:top w:val="single" w:color="1F4E79" w:themeColor="accent4" w:sz="8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5" w:sz="8" w:space="0"/>
        <w:left w:val="single" w:color="1F4E79" w:themeColor="accent5" w:sz="8" w:space="0"/>
        <w:bottom w:val="single" w:color="1F4E79" w:themeColor="accent5" w:sz="8" w:space="0"/>
        <w:right w:val="single" w:color="1F4E7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4E7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F4E79" w:themeColor="accent5" w:sz="6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F4E79" w:themeColor="accent5" w:sz="8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</w:tcBorders>
      </w:tcPr>
    </w:tblStylePr>
    <w:tblStylePr w:type="band1Horz">
      <w:tblPr/>
      <w:tcPr>
        <w:tcBorders>
          <w:top w:val="single" w:color="1F4E79" w:themeColor="accent5" w:sz="8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6" w:sz="8" w:space="0"/>
        <w:left w:val="single" w:color="1F4E79" w:themeColor="accent6" w:sz="8" w:space="0"/>
        <w:bottom w:val="single" w:color="1F4E79" w:themeColor="accent6" w:sz="8" w:space="0"/>
        <w:right w:val="single" w:color="1F4E7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4E7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F4E79" w:themeColor="accent6" w:sz="6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F4E79" w:themeColor="accent6" w:sz="8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</w:tcBorders>
      </w:tcPr>
    </w:tblStylePr>
    <w:tblStylePr w:type="band1Horz">
      <w:tblPr/>
      <w:tcPr>
        <w:tcBorders>
          <w:top w:val="single" w:color="1F4E79" w:themeColor="accent6" w:sz="8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A1A1A" w:themeColor="text1" w:sz="8" w:space="0"/>
        <w:left w:val="single" w:color="1A1A1A" w:themeColor="text1" w:sz="8" w:space="0"/>
        <w:bottom w:val="single" w:color="1A1A1A" w:themeColor="text1" w:sz="8" w:space="0"/>
        <w:right w:val="single" w:color="1A1A1A" w:themeColor="text1" w:sz="8" w:space="0"/>
        <w:insideH w:val="single" w:color="1A1A1A" w:themeColor="text1" w:sz="8" w:space="0"/>
        <w:insideV w:val="single" w:color="1A1A1A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A1A1A" w:themeColor="text1" w:sz="8" w:space="0"/>
          <w:left w:val="single" w:color="1A1A1A" w:themeColor="text1" w:sz="8" w:space="0"/>
          <w:bottom w:val="single" w:color="1A1A1A" w:themeColor="text1" w:sz="18" w:space="0"/>
          <w:right w:val="single" w:color="1A1A1A" w:themeColor="text1" w:sz="8" w:space="0"/>
          <w:insideH w:val="nil"/>
          <w:insideV w:val="single" w:color="1A1A1A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A1A1A" w:themeColor="text1" w:sz="6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  <w:insideH w:val="nil"/>
          <w:insideV w:val="single" w:color="1A1A1A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A1A1A" w:themeColor="text1" w:sz="8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</w:tcBorders>
      </w:tcPr>
    </w:tblStylePr>
    <w:tblStylePr w:type="band1Vert">
      <w:tblPr/>
      <w:tcPr>
        <w:tcBorders>
          <w:top w:val="single" w:color="1A1A1A" w:themeColor="text1" w:sz="8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</w:tcBorders>
        <w:shd w:val="clear" w:color="auto" w:fill="C6C6C6" w:themeFill="text1" w:themeFillTint="3F"/>
      </w:tcPr>
    </w:tblStylePr>
    <w:tblStylePr w:type="band1Horz">
      <w:tblPr/>
      <w:tcPr>
        <w:tcBorders>
          <w:top w:val="single" w:color="1A1A1A" w:themeColor="text1" w:sz="8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  <w:insideV w:val="single" w:color="1A1A1A" w:themeColor="text1" w:sz="8" w:space="0"/>
        </w:tcBorders>
        <w:shd w:val="clear" w:color="auto" w:fill="C6C6C6" w:themeFill="text1" w:themeFillTint="3F"/>
      </w:tcPr>
    </w:tblStylePr>
    <w:tblStylePr w:type="band2Horz">
      <w:tblPr/>
      <w:tcPr>
        <w:tcBorders>
          <w:top w:val="single" w:color="1A1A1A" w:themeColor="text1" w:sz="8" w:space="0"/>
          <w:left w:val="single" w:color="1A1A1A" w:themeColor="text1" w:sz="8" w:space="0"/>
          <w:bottom w:val="single" w:color="1A1A1A" w:themeColor="text1" w:sz="8" w:space="0"/>
          <w:right w:val="single" w:color="1A1A1A" w:themeColor="text1" w:sz="8" w:space="0"/>
          <w:insideV w:val="single" w:color="1A1A1A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1" w:sz="8" w:space="0"/>
        <w:left w:val="single" w:color="1F4E79" w:themeColor="accent1" w:sz="8" w:space="0"/>
        <w:bottom w:val="single" w:color="1F4E79" w:themeColor="accent1" w:sz="8" w:space="0"/>
        <w:right w:val="single" w:color="1F4E79" w:themeColor="accent1" w:sz="8" w:space="0"/>
        <w:insideH w:val="single" w:color="1F4E79" w:themeColor="accent1" w:sz="8" w:space="0"/>
        <w:insideV w:val="single" w:color="1F4E79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1" w:sz="8" w:space="0"/>
          <w:left w:val="single" w:color="1F4E79" w:themeColor="accent1" w:sz="8" w:space="0"/>
          <w:bottom w:val="single" w:color="1F4E79" w:themeColor="accent1" w:sz="18" w:space="0"/>
          <w:right w:val="single" w:color="1F4E79" w:themeColor="accent1" w:sz="8" w:space="0"/>
          <w:insideH w:val="nil"/>
          <w:insideV w:val="single" w:color="1F4E79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F4E79" w:themeColor="accent1" w:sz="6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  <w:insideH w:val="nil"/>
          <w:insideV w:val="single" w:color="1F4E79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1" w:sz="8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</w:tcBorders>
      </w:tcPr>
    </w:tblStylePr>
    <w:tblStylePr w:type="band1Vert">
      <w:tblPr/>
      <w:tcPr>
        <w:tcBorders>
          <w:top w:val="single" w:color="1F4E79" w:themeColor="accent1" w:sz="8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</w:tcBorders>
        <w:shd w:val="clear" w:color="auto" w:fill="B8D3ED" w:themeFill="accent1" w:themeFillTint="3F"/>
      </w:tcPr>
    </w:tblStylePr>
    <w:tblStylePr w:type="band1Horz">
      <w:tblPr/>
      <w:tcPr>
        <w:tcBorders>
          <w:top w:val="single" w:color="1F4E79" w:themeColor="accent1" w:sz="8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  <w:insideV w:val="single" w:color="1F4E79" w:themeColor="accent1" w:sz="8" w:space="0"/>
        </w:tcBorders>
        <w:shd w:val="clear" w:color="auto" w:fill="B8D3ED" w:themeFill="accent1" w:themeFillTint="3F"/>
      </w:tcPr>
    </w:tblStylePr>
    <w:tblStylePr w:type="band2Horz">
      <w:tblPr/>
      <w:tcPr>
        <w:tcBorders>
          <w:top w:val="single" w:color="1F4E79" w:themeColor="accent1" w:sz="8" w:space="0"/>
          <w:left w:val="single" w:color="1F4E79" w:themeColor="accent1" w:sz="8" w:space="0"/>
          <w:bottom w:val="single" w:color="1F4E79" w:themeColor="accent1" w:sz="8" w:space="0"/>
          <w:right w:val="single" w:color="1F4E79" w:themeColor="accent1" w:sz="8" w:space="0"/>
          <w:insideV w:val="single" w:color="1F4E79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595959" w:themeColor="accent2" w:sz="8" w:space="0"/>
        <w:left w:val="single" w:color="595959" w:themeColor="accent2" w:sz="8" w:space="0"/>
        <w:bottom w:val="single" w:color="595959" w:themeColor="accent2" w:sz="8" w:space="0"/>
        <w:right w:val="single" w:color="595959" w:themeColor="accent2" w:sz="8" w:space="0"/>
        <w:insideH w:val="single" w:color="595959" w:themeColor="accent2" w:sz="8" w:space="0"/>
        <w:insideV w:val="single" w:color="595959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95959" w:themeColor="accent2" w:sz="8" w:space="0"/>
          <w:left w:val="single" w:color="595959" w:themeColor="accent2" w:sz="8" w:space="0"/>
          <w:bottom w:val="single" w:color="595959" w:themeColor="accent2" w:sz="18" w:space="0"/>
          <w:right w:val="single" w:color="595959" w:themeColor="accent2" w:sz="8" w:space="0"/>
          <w:insideH w:val="nil"/>
          <w:insideV w:val="single" w:color="595959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95959" w:themeColor="accent2" w:sz="6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  <w:insideH w:val="nil"/>
          <w:insideV w:val="single" w:color="595959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95959" w:themeColor="accent2" w:sz="8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</w:tcBorders>
      </w:tcPr>
    </w:tblStylePr>
    <w:tblStylePr w:type="band1Vert">
      <w:tblPr/>
      <w:tcPr>
        <w:tcBorders>
          <w:top w:val="single" w:color="595959" w:themeColor="accent2" w:sz="8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</w:tcBorders>
        <w:shd w:val="clear" w:color="auto" w:fill="D5D5D5" w:themeFill="accent2" w:themeFillTint="3F"/>
      </w:tcPr>
    </w:tblStylePr>
    <w:tblStylePr w:type="band1Horz">
      <w:tblPr/>
      <w:tcPr>
        <w:tcBorders>
          <w:top w:val="single" w:color="595959" w:themeColor="accent2" w:sz="8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  <w:insideV w:val="single" w:color="595959" w:themeColor="accent2" w:sz="8" w:space="0"/>
        </w:tcBorders>
        <w:shd w:val="clear" w:color="auto" w:fill="D5D5D5" w:themeFill="accent2" w:themeFillTint="3F"/>
      </w:tcPr>
    </w:tblStylePr>
    <w:tblStylePr w:type="band2Horz">
      <w:tblPr/>
      <w:tcPr>
        <w:tcBorders>
          <w:top w:val="single" w:color="595959" w:themeColor="accent2" w:sz="8" w:space="0"/>
          <w:left w:val="single" w:color="595959" w:themeColor="accent2" w:sz="8" w:space="0"/>
          <w:bottom w:val="single" w:color="595959" w:themeColor="accent2" w:sz="8" w:space="0"/>
          <w:right w:val="single" w:color="595959" w:themeColor="accent2" w:sz="8" w:space="0"/>
          <w:insideV w:val="single" w:color="595959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3" w:sz="8" w:space="0"/>
        <w:left w:val="single" w:color="1F4E79" w:themeColor="accent3" w:sz="8" w:space="0"/>
        <w:bottom w:val="single" w:color="1F4E79" w:themeColor="accent3" w:sz="8" w:space="0"/>
        <w:right w:val="single" w:color="1F4E79" w:themeColor="accent3" w:sz="8" w:space="0"/>
        <w:insideH w:val="single" w:color="1F4E79" w:themeColor="accent3" w:sz="8" w:space="0"/>
        <w:insideV w:val="single" w:color="1F4E7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3" w:sz="8" w:space="0"/>
          <w:left w:val="single" w:color="1F4E79" w:themeColor="accent3" w:sz="8" w:space="0"/>
          <w:bottom w:val="single" w:color="1F4E79" w:themeColor="accent3" w:sz="18" w:space="0"/>
          <w:right w:val="single" w:color="1F4E79" w:themeColor="accent3" w:sz="8" w:space="0"/>
          <w:insideH w:val="nil"/>
          <w:insideV w:val="single" w:color="1F4E7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F4E79" w:themeColor="accent3" w:sz="6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  <w:insideH w:val="nil"/>
          <w:insideV w:val="single" w:color="1F4E7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3" w:sz="8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</w:tcBorders>
      </w:tcPr>
    </w:tblStylePr>
    <w:tblStylePr w:type="band1Vert">
      <w:tblPr/>
      <w:tcPr>
        <w:tcBorders>
          <w:top w:val="single" w:color="1F4E79" w:themeColor="accent3" w:sz="8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</w:tcBorders>
        <w:shd w:val="clear" w:color="auto" w:fill="B8D3ED" w:themeFill="accent3" w:themeFillTint="3F"/>
      </w:tcPr>
    </w:tblStylePr>
    <w:tblStylePr w:type="band1Horz">
      <w:tblPr/>
      <w:tcPr>
        <w:tcBorders>
          <w:top w:val="single" w:color="1F4E79" w:themeColor="accent3" w:sz="8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  <w:insideV w:val="single" w:color="1F4E79" w:themeColor="accent3" w:sz="8" w:space="0"/>
        </w:tcBorders>
        <w:shd w:val="clear" w:color="auto" w:fill="B8D3ED" w:themeFill="accent3" w:themeFillTint="3F"/>
      </w:tcPr>
    </w:tblStylePr>
    <w:tblStylePr w:type="band2Horz">
      <w:tblPr/>
      <w:tcPr>
        <w:tcBorders>
          <w:top w:val="single" w:color="1F4E79" w:themeColor="accent3" w:sz="8" w:space="0"/>
          <w:left w:val="single" w:color="1F4E79" w:themeColor="accent3" w:sz="8" w:space="0"/>
          <w:bottom w:val="single" w:color="1F4E79" w:themeColor="accent3" w:sz="8" w:space="0"/>
          <w:right w:val="single" w:color="1F4E79" w:themeColor="accent3" w:sz="8" w:space="0"/>
          <w:insideV w:val="single" w:color="1F4E7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4" w:sz="8" w:space="0"/>
        <w:left w:val="single" w:color="1F4E79" w:themeColor="accent4" w:sz="8" w:space="0"/>
        <w:bottom w:val="single" w:color="1F4E79" w:themeColor="accent4" w:sz="8" w:space="0"/>
        <w:right w:val="single" w:color="1F4E79" w:themeColor="accent4" w:sz="8" w:space="0"/>
        <w:insideH w:val="single" w:color="1F4E79" w:themeColor="accent4" w:sz="8" w:space="0"/>
        <w:insideV w:val="single" w:color="1F4E79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4" w:sz="8" w:space="0"/>
          <w:left w:val="single" w:color="1F4E79" w:themeColor="accent4" w:sz="8" w:space="0"/>
          <w:bottom w:val="single" w:color="1F4E79" w:themeColor="accent4" w:sz="18" w:space="0"/>
          <w:right w:val="single" w:color="1F4E79" w:themeColor="accent4" w:sz="8" w:space="0"/>
          <w:insideH w:val="nil"/>
          <w:insideV w:val="single" w:color="1F4E79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F4E79" w:themeColor="accent4" w:sz="6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  <w:insideH w:val="nil"/>
          <w:insideV w:val="single" w:color="1F4E79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4" w:sz="8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</w:tcBorders>
      </w:tcPr>
    </w:tblStylePr>
    <w:tblStylePr w:type="band1Vert">
      <w:tblPr/>
      <w:tcPr>
        <w:tcBorders>
          <w:top w:val="single" w:color="1F4E79" w:themeColor="accent4" w:sz="8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</w:tcBorders>
        <w:shd w:val="clear" w:color="auto" w:fill="B8D3ED" w:themeFill="accent4" w:themeFillTint="3F"/>
      </w:tcPr>
    </w:tblStylePr>
    <w:tblStylePr w:type="band1Horz">
      <w:tblPr/>
      <w:tcPr>
        <w:tcBorders>
          <w:top w:val="single" w:color="1F4E79" w:themeColor="accent4" w:sz="8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  <w:insideV w:val="single" w:color="1F4E79" w:themeColor="accent4" w:sz="8" w:space="0"/>
        </w:tcBorders>
        <w:shd w:val="clear" w:color="auto" w:fill="B8D3ED" w:themeFill="accent4" w:themeFillTint="3F"/>
      </w:tcPr>
    </w:tblStylePr>
    <w:tblStylePr w:type="band2Horz">
      <w:tblPr/>
      <w:tcPr>
        <w:tcBorders>
          <w:top w:val="single" w:color="1F4E79" w:themeColor="accent4" w:sz="8" w:space="0"/>
          <w:left w:val="single" w:color="1F4E79" w:themeColor="accent4" w:sz="8" w:space="0"/>
          <w:bottom w:val="single" w:color="1F4E79" w:themeColor="accent4" w:sz="8" w:space="0"/>
          <w:right w:val="single" w:color="1F4E79" w:themeColor="accent4" w:sz="8" w:space="0"/>
          <w:insideV w:val="single" w:color="1F4E79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5" w:sz="8" w:space="0"/>
        <w:left w:val="single" w:color="1F4E79" w:themeColor="accent5" w:sz="8" w:space="0"/>
        <w:bottom w:val="single" w:color="1F4E79" w:themeColor="accent5" w:sz="8" w:space="0"/>
        <w:right w:val="single" w:color="1F4E79" w:themeColor="accent5" w:sz="8" w:space="0"/>
        <w:insideH w:val="single" w:color="1F4E79" w:themeColor="accent5" w:sz="8" w:space="0"/>
        <w:insideV w:val="single" w:color="1F4E79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5" w:sz="8" w:space="0"/>
          <w:left w:val="single" w:color="1F4E79" w:themeColor="accent5" w:sz="8" w:space="0"/>
          <w:bottom w:val="single" w:color="1F4E79" w:themeColor="accent5" w:sz="18" w:space="0"/>
          <w:right w:val="single" w:color="1F4E79" w:themeColor="accent5" w:sz="8" w:space="0"/>
          <w:insideH w:val="nil"/>
          <w:insideV w:val="single" w:color="1F4E7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F4E79" w:themeColor="accent5" w:sz="6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  <w:insideH w:val="nil"/>
          <w:insideV w:val="single" w:color="1F4E7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5" w:sz="8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</w:tcBorders>
      </w:tcPr>
    </w:tblStylePr>
    <w:tblStylePr w:type="band1Vert">
      <w:tblPr/>
      <w:tcPr>
        <w:tcBorders>
          <w:top w:val="single" w:color="1F4E79" w:themeColor="accent5" w:sz="8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</w:tcBorders>
        <w:shd w:val="clear" w:color="auto" w:fill="B8D3ED" w:themeFill="accent5" w:themeFillTint="3F"/>
      </w:tcPr>
    </w:tblStylePr>
    <w:tblStylePr w:type="band1Horz">
      <w:tblPr/>
      <w:tcPr>
        <w:tcBorders>
          <w:top w:val="single" w:color="1F4E79" w:themeColor="accent5" w:sz="8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  <w:insideV w:val="single" w:color="1F4E79" w:themeColor="accent5" w:sz="8" w:space="0"/>
        </w:tcBorders>
        <w:shd w:val="clear" w:color="auto" w:fill="B8D3ED" w:themeFill="accent5" w:themeFillTint="3F"/>
      </w:tcPr>
    </w:tblStylePr>
    <w:tblStylePr w:type="band2Horz">
      <w:tblPr/>
      <w:tcPr>
        <w:tcBorders>
          <w:top w:val="single" w:color="1F4E79" w:themeColor="accent5" w:sz="8" w:space="0"/>
          <w:left w:val="single" w:color="1F4E79" w:themeColor="accent5" w:sz="8" w:space="0"/>
          <w:bottom w:val="single" w:color="1F4E79" w:themeColor="accent5" w:sz="8" w:space="0"/>
          <w:right w:val="single" w:color="1F4E79" w:themeColor="accent5" w:sz="8" w:space="0"/>
          <w:insideV w:val="single" w:color="1F4E7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F4E79" w:themeColor="accent6" w:sz="8" w:space="0"/>
        <w:left w:val="single" w:color="1F4E79" w:themeColor="accent6" w:sz="8" w:space="0"/>
        <w:bottom w:val="single" w:color="1F4E79" w:themeColor="accent6" w:sz="8" w:space="0"/>
        <w:right w:val="single" w:color="1F4E79" w:themeColor="accent6" w:sz="8" w:space="0"/>
        <w:insideH w:val="single" w:color="1F4E79" w:themeColor="accent6" w:sz="8" w:space="0"/>
        <w:insideV w:val="single" w:color="1F4E79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6" w:sz="8" w:space="0"/>
          <w:left w:val="single" w:color="1F4E79" w:themeColor="accent6" w:sz="8" w:space="0"/>
          <w:bottom w:val="single" w:color="1F4E79" w:themeColor="accent6" w:sz="18" w:space="0"/>
          <w:right w:val="single" w:color="1F4E79" w:themeColor="accent6" w:sz="8" w:space="0"/>
          <w:insideH w:val="nil"/>
          <w:insideV w:val="single" w:color="1F4E79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F4E79" w:themeColor="accent6" w:sz="6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  <w:insideH w:val="nil"/>
          <w:insideV w:val="single" w:color="1F4E79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F4E79" w:themeColor="accent6" w:sz="8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</w:tcBorders>
      </w:tcPr>
    </w:tblStylePr>
    <w:tblStylePr w:type="band1Vert">
      <w:tblPr/>
      <w:tcPr>
        <w:tcBorders>
          <w:top w:val="single" w:color="1F4E79" w:themeColor="accent6" w:sz="8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</w:tcBorders>
        <w:shd w:val="clear" w:color="auto" w:fill="B8D3ED" w:themeFill="accent6" w:themeFillTint="3F"/>
      </w:tcPr>
    </w:tblStylePr>
    <w:tblStylePr w:type="band1Horz">
      <w:tblPr/>
      <w:tcPr>
        <w:tcBorders>
          <w:top w:val="single" w:color="1F4E79" w:themeColor="accent6" w:sz="8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  <w:insideV w:val="single" w:color="1F4E79" w:themeColor="accent6" w:sz="8" w:space="0"/>
        </w:tcBorders>
        <w:shd w:val="clear" w:color="auto" w:fill="B8D3ED" w:themeFill="accent6" w:themeFillTint="3F"/>
      </w:tcPr>
    </w:tblStylePr>
    <w:tblStylePr w:type="band2Horz">
      <w:tblPr/>
      <w:tcPr>
        <w:tcBorders>
          <w:top w:val="single" w:color="1F4E79" w:themeColor="accent6" w:sz="8" w:space="0"/>
          <w:left w:val="single" w:color="1F4E79" w:themeColor="accent6" w:sz="8" w:space="0"/>
          <w:bottom w:val="single" w:color="1F4E79" w:themeColor="accent6" w:sz="8" w:space="0"/>
          <w:right w:val="single" w:color="1F4E79" w:themeColor="accent6" w:sz="8" w:space="0"/>
          <w:insideV w:val="single" w:color="1F4E79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535353" w:themeColor="text1" w:themeTint="BF" w:sz="8" w:space="0"/>
        <w:left w:val="single" w:color="535353" w:themeColor="text1" w:themeTint="BF" w:sz="8" w:space="0"/>
        <w:bottom w:val="single" w:color="535353" w:themeColor="text1" w:themeTint="BF" w:sz="8" w:space="0"/>
        <w:right w:val="single" w:color="535353" w:themeColor="text1" w:themeTint="BF" w:sz="8" w:space="0"/>
        <w:insideH w:val="single" w:color="535353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535353" w:themeColor="text1" w:themeTint="BF" w:sz="8" w:space="0"/>
          <w:left w:val="single" w:color="535353" w:themeColor="text1" w:themeTint="BF" w:sz="8" w:space="0"/>
          <w:bottom w:val="single" w:color="535353" w:themeColor="text1" w:themeTint="BF" w:sz="8" w:space="0"/>
          <w:right w:val="single" w:color="535353" w:themeColor="text1" w:themeTint="BF" w:sz="8" w:space="0"/>
          <w:insideH w:val="nil"/>
          <w:insideV w:val="nil"/>
        </w:tcBorders>
        <w:shd w:val="clear" w:color="auto" w:fill="1A1A1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35353" w:themeColor="text1" w:themeTint="BF" w:sz="6" w:space="0"/>
          <w:left w:val="single" w:color="535353" w:themeColor="text1" w:themeTint="BF" w:sz="8" w:space="0"/>
          <w:bottom w:val="single" w:color="535353" w:themeColor="text1" w:themeTint="BF" w:sz="8" w:space="0"/>
          <w:right w:val="single" w:color="535353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6C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C6C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1" w:themeTint="BF" w:sz="8" w:space="0"/>
        <w:left w:val="single" w:color="317BC0" w:themeColor="accent1" w:themeTint="BF" w:sz="8" w:space="0"/>
        <w:bottom w:val="single" w:color="317BC0" w:themeColor="accent1" w:themeTint="BF" w:sz="8" w:space="0"/>
        <w:right w:val="single" w:color="317BC0" w:themeColor="accent1" w:themeTint="BF" w:sz="8" w:space="0"/>
        <w:insideH w:val="single" w:color="317BC0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17BC0" w:themeColor="accent1" w:themeTint="BF" w:sz="8" w:space="0"/>
          <w:left w:val="single" w:color="317BC0" w:themeColor="accent1" w:themeTint="BF" w:sz="8" w:space="0"/>
          <w:bottom w:val="single" w:color="317BC0" w:themeColor="accent1" w:themeTint="BF" w:sz="8" w:space="0"/>
          <w:right w:val="single" w:color="317BC0" w:themeColor="accent1" w:themeTint="BF" w:sz="8" w:space="0"/>
          <w:insideH w:val="nil"/>
          <w:insideV w:val="nil"/>
        </w:tcBorders>
        <w:shd w:val="clear" w:color="auto" w:fill="1F4E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17BC0" w:themeColor="accent1" w:themeTint="BF" w:sz="6" w:space="0"/>
          <w:left w:val="single" w:color="317BC0" w:themeColor="accent1" w:themeTint="BF" w:sz="8" w:space="0"/>
          <w:bottom w:val="single" w:color="317BC0" w:themeColor="accent1" w:themeTint="BF" w:sz="8" w:space="0"/>
          <w:right w:val="single" w:color="317BC0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3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3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28282" w:themeColor="accent2" w:themeTint="BF" w:sz="8" w:space="0"/>
        <w:left w:val="single" w:color="828282" w:themeColor="accent2" w:themeTint="BF" w:sz="8" w:space="0"/>
        <w:bottom w:val="single" w:color="828282" w:themeColor="accent2" w:themeTint="BF" w:sz="8" w:space="0"/>
        <w:right w:val="single" w:color="828282" w:themeColor="accent2" w:themeTint="BF" w:sz="8" w:space="0"/>
        <w:insideH w:val="single" w:color="828282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28282" w:themeColor="accent2" w:themeTint="BF" w:sz="8" w:space="0"/>
          <w:left w:val="single" w:color="828282" w:themeColor="accent2" w:themeTint="BF" w:sz="8" w:space="0"/>
          <w:bottom w:val="single" w:color="828282" w:themeColor="accent2" w:themeTint="BF" w:sz="8" w:space="0"/>
          <w:right w:val="single" w:color="828282" w:themeColor="accent2" w:themeTint="BF" w:sz="8" w:space="0"/>
          <w:insideH w:val="nil"/>
          <w:insideV w:val="nil"/>
        </w:tcBorders>
        <w:shd w:val="clear" w:color="auto" w:fill="59595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28282" w:themeColor="accent2" w:themeTint="BF" w:sz="6" w:space="0"/>
          <w:left w:val="single" w:color="828282" w:themeColor="accent2" w:themeTint="BF" w:sz="8" w:space="0"/>
          <w:bottom w:val="single" w:color="828282" w:themeColor="accent2" w:themeTint="BF" w:sz="8" w:space="0"/>
          <w:right w:val="single" w:color="828282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5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5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3" w:themeTint="BF" w:sz="8" w:space="0"/>
        <w:left w:val="single" w:color="317BC0" w:themeColor="accent3" w:themeTint="BF" w:sz="8" w:space="0"/>
        <w:bottom w:val="single" w:color="317BC0" w:themeColor="accent3" w:themeTint="BF" w:sz="8" w:space="0"/>
        <w:right w:val="single" w:color="317BC0" w:themeColor="accent3" w:themeTint="BF" w:sz="8" w:space="0"/>
        <w:insideH w:val="single" w:color="317BC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17BC0" w:themeColor="accent3" w:themeTint="BF" w:sz="8" w:space="0"/>
          <w:left w:val="single" w:color="317BC0" w:themeColor="accent3" w:themeTint="BF" w:sz="8" w:space="0"/>
          <w:bottom w:val="single" w:color="317BC0" w:themeColor="accent3" w:themeTint="BF" w:sz="8" w:space="0"/>
          <w:right w:val="single" w:color="317BC0" w:themeColor="accent3" w:themeTint="BF" w:sz="8" w:space="0"/>
          <w:insideH w:val="nil"/>
          <w:insideV w:val="nil"/>
        </w:tcBorders>
        <w:shd w:val="clear" w:color="auto" w:fill="1F4E7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17BC0" w:themeColor="accent3" w:themeTint="BF" w:sz="6" w:space="0"/>
          <w:left w:val="single" w:color="317BC0" w:themeColor="accent3" w:themeTint="BF" w:sz="8" w:space="0"/>
          <w:bottom w:val="single" w:color="317BC0" w:themeColor="accent3" w:themeTint="BF" w:sz="8" w:space="0"/>
          <w:right w:val="single" w:color="317BC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3E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3E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4" w:themeTint="BF" w:sz="8" w:space="0"/>
        <w:left w:val="single" w:color="317BC0" w:themeColor="accent4" w:themeTint="BF" w:sz="8" w:space="0"/>
        <w:bottom w:val="single" w:color="317BC0" w:themeColor="accent4" w:themeTint="BF" w:sz="8" w:space="0"/>
        <w:right w:val="single" w:color="317BC0" w:themeColor="accent4" w:themeTint="BF" w:sz="8" w:space="0"/>
        <w:insideH w:val="single" w:color="317BC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17BC0" w:themeColor="accent4" w:themeTint="BF" w:sz="8" w:space="0"/>
          <w:left w:val="single" w:color="317BC0" w:themeColor="accent4" w:themeTint="BF" w:sz="8" w:space="0"/>
          <w:bottom w:val="single" w:color="317BC0" w:themeColor="accent4" w:themeTint="BF" w:sz="8" w:space="0"/>
          <w:right w:val="single" w:color="317BC0" w:themeColor="accent4" w:themeTint="BF" w:sz="8" w:space="0"/>
          <w:insideH w:val="nil"/>
          <w:insideV w:val="nil"/>
        </w:tcBorders>
        <w:shd w:val="clear" w:color="auto" w:fill="1F4E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17BC0" w:themeColor="accent4" w:themeTint="BF" w:sz="6" w:space="0"/>
          <w:left w:val="single" w:color="317BC0" w:themeColor="accent4" w:themeTint="BF" w:sz="8" w:space="0"/>
          <w:bottom w:val="single" w:color="317BC0" w:themeColor="accent4" w:themeTint="BF" w:sz="8" w:space="0"/>
          <w:right w:val="single" w:color="317BC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3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3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5" w:themeTint="BF" w:sz="8" w:space="0"/>
        <w:left w:val="single" w:color="317BC0" w:themeColor="accent5" w:themeTint="BF" w:sz="8" w:space="0"/>
        <w:bottom w:val="single" w:color="317BC0" w:themeColor="accent5" w:themeTint="BF" w:sz="8" w:space="0"/>
        <w:right w:val="single" w:color="317BC0" w:themeColor="accent5" w:themeTint="BF" w:sz="8" w:space="0"/>
        <w:insideH w:val="single" w:color="317BC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17BC0" w:themeColor="accent5" w:themeTint="BF" w:sz="8" w:space="0"/>
          <w:left w:val="single" w:color="317BC0" w:themeColor="accent5" w:themeTint="BF" w:sz="8" w:space="0"/>
          <w:bottom w:val="single" w:color="317BC0" w:themeColor="accent5" w:themeTint="BF" w:sz="8" w:space="0"/>
          <w:right w:val="single" w:color="317BC0" w:themeColor="accent5" w:themeTint="BF" w:sz="8" w:space="0"/>
          <w:insideH w:val="nil"/>
          <w:insideV w:val="nil"/>
        </w:tcBorders>
        <w:shd w:val="clear" w:color="auto" w:fill="1F4E7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17BC0" w:themeColor="accent5" w:themeTint="BF" w:sz="6" w:space="0"/>
          <w:left w:val="single" w:color="317BC0" w:themeColor="accent5" w:themeTint="BF" w:sz="8" w:space="0"/>
          <w:bottom w:val="single" w:color="317BC0" w:themeColor="accent5" w:themeTint="BF" w:sz="8" w:space="0"/>
          <w:right w:val="single" w:color="317BC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3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3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6" w:themeTint="BF" w:sz="8" w:space="0"/>
        <w:left w:val="single" w:color="317BC0" w:themeColor="accent6" w:themeTint="BF" w:sz="8" w:space="0"/>
        <w:bottom w:val="single" w:color="317BC0" w:themeColor="accent6" w:themeTint="BF" w:sz="8" w:space="0"/>
        <w:right w:val="single" w:color="317BC0" w:themeColor="accent6" w:themeTint="BF" w:sz="8" w:space="0"/>
        <w:insideH w:val="single" w:color="317BC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17BC0" w:themeColor="accent6" w:themeTint="BF" w:sz="8" w:space="0"/>
          <w:left w:val="single" w:color="317BC0" w:themeColor="accent6" w:themeTint="BF" w:sz="8" w:space="0"/>
          <w:bottom w:val="single" w:color="317BC0" w:themeColor="accent6" w:themeTint="BF" w:sz="8" w:space="0"/>
          <w:right w:val="single" w:color="317BC0" w:themeColor="accent6" w:themeTint="BF" w:sz="8" w:space="0"/>
          <w:insideH w:val="nil"/>
          <w:insideV w:val="nil"/>
        </w:tcBorders>
        <w:shd w:val="clear" w:color="auto" w:fill="1F4E7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17BC0" w:themeColor="accent6" w:themeTint="BF" w:sz="6" w:space="0"/>
          <w:left w:val="single" w:color="317BC0" w:themeColor="accent6" w:themeTint="BF" w:sz="8" w:space="0"/>
          <w:bottom w:val="single" w:color="317BC0" w:themeColor="accent6" w:themeTint="BF" w:sz="8" w:space="0"/>
          <w:right w:val="single" w:color="317BC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3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3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A1A1A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4E7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9595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595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4E7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4E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4E7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4E7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4E7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A1A1A" w:themeColor="text1" w:sz="8" w:space="0"/>
        <w:bottom w:val="single" w:color="1A1A1A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A1A1A" w:themeColor="text1" w:sz="8" w:space="0"/>
        </w:tcBorders>
      </w:tcPr>
    </w:tblStylePr>
    <w:tblStylePr w:type="lastRow">
      <w:rPr>
        <w:b/>
        <w:bCs/>
        <w:color w:val="1F4E79" w:themeColor="text2"/>
      </w:rPr>
      <w:tblPr/>
      <w:tcPr>
        <w:tcBorders>
          <w:top w:val="single" w:color="1A1A1A" w:themeColor="text1" w:sz="8" w:space="0"/>
          <w:bottom w:val="single" w:color="1A1A1A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A1A1A" w:themeColor="text1" w:sz="8" w:space="0"/>
          <w:bottom w:val="single" w:color="1A1A1A" w:themeColor="text1" w:sz="8" w:space="0"/>
        </w:tcBorders>
      </w:tcPr>
    </w:tblStylePr>
    <w:tblStylePr w:type="band1Vert">
      <w:tblPr/>
      <w:tcPr>
        <w:shd w:val="clear" w:color="auto" w:fill="C6C6C6" w:themeFill="text1" w:themeFillTint="3F"/>
      </w:tcPr>
    </w:tblStylePr>
    <w:tblStylePr w:type="band1Horz">
      <w:tblPr/>
      <w:tcPr>
        <w:shd w:val="clear" w:color="auto" w:fill="C6C6C6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1" w:sz="8" w:space="0"/>
        <w:bottom w:val="single" w:color="1F4E79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F4E79" w:themeColor="accent1" w:sz="8" w:space="0"/>
        </w:tcBorders>
      </w:tcPr>
    </w:tblStylePr>
    <w:tblStylePr w:type="lastRow">
      <w:rPr>
        <w:b/>
        <w:bCs/>
        <w:color w:val="1F4E79" w:themeColor="text2"/>
      </w:rPr>
      <w:tblPr/>
      <w:tcPr>
        <w:tcBorders>
          <w:top w:val="single" w:color="1F4E79" w:themeColor="accent1" w:sz="8" w:space="0"/>
          <w:bottom w:val="single" w:color="1F4E79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F4E79" w:themeColor="accent1" w:sz="8" w:space="0"/>
          <w:bottom w:val="single" w:color="1F4E79" w:themeColor="accent1" w:sz="8" w:space="0"/>
        </w:tcBorders>
      </w:tcPr>
    </w:tblStylePr>
    <w:tblStylePr w:type="band1Vert">
      <w:tblPr/>
      <w:tcPr>
        <w:shd w:val="clear" w:color="auto" w:fill="B8D3ED" w:themeFill="accent1" w:themeFillTint="3F"/>
      </w:tcPr>
    </w:tblStylePr>
    <w:tblStylePr w:type="band1Horz">
      <w:tblPr/>
      <w:tcPr>
        <w:shd w:val="clear" w:color="auto" w:fill="B8D3ED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595959" w:themeColor="accent2" w:sz="8" w:space="0"/>
        <w:bottom w:val="single" w:color="595959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95959" w:themeColor="accent2" w:sz="8" w:space="0"/>
        </w:tcBorders>
      </w:tcPr>
    </w:tblStylePr>
    <w:tblStylePr w:type="lastRow">
      <w:rPr>
        <w:b/>
        <w:bCs/>
        <w:color w:val="1F4E79" w:themeColor="text2"/>
      </w:rPr>
      <w:tblPr/>
      <w:tcPr>
        <w:tcBorders>
          <w:top w:val="single" w:color="595959" w:themeColor="accent2" w:sz="8" w:space="0"/>
          <w:bottom w:val="single" w:color="59595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95959" w:themeColor="accent2" w:sz="8" w:space="0"/>
          <w:bottom w:val="single" w:color="595959" w:themeColor="accent2" w:sz="8" w:space="0"/>
        </w:tcBorders>
      </w:tcPr>
    </w:tblStylePr>
    <w:tblStylePr w:type="band1Vert">
      <w:tblPr/>
      <w:tcPr>
        <w:shd w:val="clear" w:color="auto" w:fill="D5D5D5" w:themeFill="accent2" w:themeFillTint="3F"/>
      </w:tcPr>
    </w:tblStylePr>
    <w:tblStylePr w:type="band1Horz">
      <w:tblPr/>
      <w:tcPr>
        <w:shd w:val="clear" w:color="auto" w:fill="D5D5D5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3" w:sz="8" w:space="0"/>
        <w:bottom w:val="single" w:color="1F4E7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F4E79" w:themeColor="accent3" w:sz="8" w:space="0"/>
        </w:tcBorders>
      </w:tcPr>
    </w:tblStylePr>
    <w:tblStylePr w:type="lastRow">
      <w:rPr>
        <w:b/>
        <w:bCs/>
        <w:color w:val="1F4E79" w:themeColor="text2"/>
      </w:rPr>
      <w:tblPr/>
      <w:tcPr>
        <w:tcBorders>
          <w:top w:val="single" w:color="1F4E79" w:themeColor="accent3" w:sz="8" w:space="0"/>
          <w:bottom w:val="single" w:color="1F4E7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F4E79" w:themeColor="accent3" w:sz="8" w:space="0"/>
          <w:bottom w:val="single" w:color="1F4E79" w:themeColor="accent3" w:sz="8" w:space="0"/>
        </w:tcBorders>
      </w:tcPr>
    </w:tblStylePr>
    <w:tblStylePr w:type="band1Vert">
      <w:tblPr/>
      <w:tcPr>
        <w:shd w:val="clear" w:color="auto" w:fill="B8D3ED" w:themeFill="accent3" w:themeFillTint="3F"/>
      </w:tcPr>
    </w:tblStylePr>
    <w:tblStylePr w:type="band1Horz">
      <w:tblPr/>
      <w:tcPr>
        <w:shd w:val="clear" w:color="auto" w:fill="B8D3ED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4" w:sz="8" w:space="0"/>
        <w:bottom w:val="single" w:color="1F4E79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F4E79" w:themeColor="accent4" w:sz="8" w:space="0"/>
        </w:tcBorders>
      </w:tcPr>
    </w:tblStylePr>
    <w:tblStylePr w:type="lastRow">
      <w:rPr>
        <w:b/>
        <w:bCs/>
        <w:color w:val="1F4E79" w:themeColor="text2"/>
      </w:rPr>
      <w:tblPr/>
      <w:tcPr>
        <w:tcBorders>
          <w:top w:val="single" w:color="1F4E79" w:themeColor="accent4" w:sz="8" w:space="0"/>
          <w:bottom w:val="single" w:color="1F4E79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F4E79" w:themeColor="accent4" w:sz="8" w:space="0"/>
          <w:bottom w:val="single" w:color="1F4E79" w:themeColor="accent4" w:sz="8" w:space="0"/>
        </w:tcBorders>
      </w:tcPr>
    </w:tblStylePr>
    <w:tblStylePr w:type="band1Vert">
      <w:tblPr/>
      <w:tcPr>
        <w:shd w:val="clear" w:color="auto" w:fill="B8D3ED" w:themeFill="accent4" w:themeFillTint="3F"/>
      </w:tcPr>
    </w:tblStylePr>
    <w:tblStylePr w:type="band1Horz">
      <w:tblPr/>
      <w:tcPr>
        <w:shd w:val="clear" w:color="auto" w:fill="B8D3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5" w:sz="8" w:space="0"/>
        <w:bottom w:val="single" w:color="1F4E79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F4E79" w:themeColor="accent5" w:sz="8" w:space="0"/>
        </w:tcBorders>
      </w:tcPr>
    </w:tblStylePr>
    <w:tblStylePr w:type="lastRow">
      <w:rPr>
        <w:b/>
        <w:bCs/>
        <w:color w:val="1F4E79" w:themeColor="text2"/>
      </w:rPr>
      <w:tblPr/>
      <w:tcPr>
        <w:tcBorders>
          <w:top w:val="single" w:color="1F4E79" w:themeColor="accent5" w:sz="8" w:space="0"/>
          <w:bottom w:val="single" w:color="1F4E7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F4E79" w:themeColor="accent5" w:sz="8" w:space="0"/>
          <w:bottom w:val="single" w:color="1F4E79" w:themeColor="accent5" w:sz="8" w:space="0"/>
        </w:tcBorders>
      </w:tcPr>
    </w:tblStylePr>
    <w:tblStylePr w:type="band1Vert">
      <w:tblPr/>
      <w:tcPr>
        <w:shd w:val="clear" w:color="auto" w:fill="B8D3ED" w:themeFill="accent5" w:themeFillTint="3F"/>
      </w:tcPr>
    </w:tblStylePr>
    <w:tblStylePr w:type="band1Horz">
      <w:tblPr/>
      <w:tcPr>
        <w:shd w:val="clear" w:color="auto" w:fill="B8D3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6" w:sz="8" w:space="0"/>
        <w:bottom w:val="single" w:color="1F4E79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F4E79" w:themeColor="accent6" w:sz="8" w:space="0"/>
        </w:tcBorders>
      </w:tcPr>
    </w:tblStylePr>
    <w:tblStylePr w:type="lastRow">
      <w:rPr>
        <w:b/>
        <w:bCs/>
        <w:color w:val="1F4E79" w:themeColor="text2"/>
      </w:rPr>
      <w:tblPr/>
      <w:tcPr>
        <w:tcBorders>
          <w:top w:val="single" w:color="1F4E79" w:themeColor="accent6" w:sz="8" w:space="0"/>
          <w:bottom w:val="single" w:color="1F4E7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F4E79" w:themeColor="accent6" w:sz="8" w:space="0"/>
          <w:bottom w:val="single" w:color="1F4E79" w:themeColor="accent6" w:sz="8" w:space="0"/>
        </w:tcBorders>
      </w:tcPr>
    </w:tblStylePr>
    <w:tblStylePr w:type="band1Vert">
      <w:tblPr/>
      <w:tcPr>
        <w:shd w:val="clear" w:color="auto" w:fill="B8D3ED" w:themeFill="accent6" w:themeFillTint="3F"/>
      </w:tcPr>
    </w:tblStylePr>
    <w:tblStylePr w:type="band1Horz">
      <w:tblPr/>
      <w:tcPr>
        <w:shd w:val="clear" w:color="auto" w:fill="B8D3ED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A1A1A" w:themeColor="text1" w:sz="8" w:space="0"/>
        <w:left w:val="single" w:color="1A1A1A" w:themeColor="text1" w:sz="8" w:space="0"/>
        <w:bottom w:val="single" w:color="1A1A1A" w:themeColor="text1" w:sz="8" w:space="0"/>
        <w:right w:val="single" w:color="1A1A1A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A1A1A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A1A1A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A1A1A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A1A1A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C6C6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1" w:sz="8" w:space="0"/>
        <w:left w:val="single" w:color="1F4E79" w:themeColor="accent1" w:sz="8" w:space="0"/>
        <w:bottom w:val="single" w:color="1F4E79" w:themeColor="accent1" w:sz="8" w:space="0"/>
        <w:right w:val="single" w:color="1F4E79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F4E79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F4E79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F4E79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F4E79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3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595959" w:themeColor="accent2" w:sz="8" w:space="0"/>
        <w:left w:val="single" w:color="595959" w:themeColor="accent2" w:sz="8" w:space="0"/>
        <w:bottom w:val="single" w:color="595959" w:themeColor="accent2" w:sz="8" w:space="0"/>
        <w:right w:val="single" w:color="595959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9595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95959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95959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95959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5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3" w:sz="8" w:space="0"/>
        <w:left w:val="single" w:color="1F4E79" w:themeColor="accent3" w:sz="8" w:space="0"/>
        <w:bottom w:val="single" w:color="1F4E79" w:themeColor="accent3" w:sz="8" w:space="0"/>
        <w:right w:val="single" w:color="1F4E7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F4E7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F4E7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F4E7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F4E7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3E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4" w:sz="8" w:space="0"/>
        <w:left w:val="single" w:color="1F4E79" w:themeColor="accent4" w:sz="8" w:space="0"/>
        <w:bottom w:val="single" w:color="1F4E79" w:themeColor="accent4" w:sz="8" w:space="0"/>
        <w:right w:val="single" w:color="1F4E79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F4E79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F4E79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F4E79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F4E79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3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5" w:sz="8" w:space="0"/>
        <w:left w:val="single" w:color="1F4E79" w:themeColor="accent5" w:sz="8" w:space="0"/>
        <w:bottom w:val="single" w:color="1F4E79" w:themeColor="accent5" w:sz="8" w:space="0"/>
        <w:right w:val="single" w:color="1F4E79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F4E7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F4E7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F4E7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F4E7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3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6" w:sz="8" w:space="0"/>
        <w:left w:val="single" w:color="1F4E79" w:themeColor="accent6" w:sz="8" w:space="0"/>
        <w:bottom w:val="single" w:color="1F4E79" w:themeColor="accent6" w:sz="8" w:space="0"/>
        <w:right w:val="single" w:color="1F4E79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F4E7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F4E79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F4E79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F4E79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3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3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535353" w:themeColor="text1" w:themeTint="BF" w:sz="8" w:space="0"/>
        <w:left w:val="single" w:color="535353" w:themeColor="text1" w:themeTint="BF" w:sz="8" w:space="0"/>
        <w:bottom w:val="single" w:color="535353" w:themeColor="text1" w:themeTint="BF" w:sz="8" w:space="0"/>
        <w:right w:val="single" w:color="535353" w:themeColor="text1" w:themeTint="BF" w:sz="8" w:space="0"/>
        <w:insideH w:val="single" w:color="535353" w:themeColor="text1" w:themeTint="BF" w:sz="8" w:space="0"/>
        <w:insideV w:val="single" w:color="535353" w:themeColor="text1" w:themeTint="BF" w:sz="8" w:space="0"/>
      </w:tblBorders>
    </w:tblPr>
    <w:tcPr>
      <w:shd w:val="clear" w:color="auto" w:fill="C6C6C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35353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8C8C" w:themeFill="text1" w:themeFillTint="7F"/>
      </w:tcPr>
    </w:tblStylePr>
    <w:tblStylePr w:type="band1Horz">
      <w:tblPr/>
      <w:tcPr>
        <w:shd w:val="clear" w:color="auto" w:fill="8C8C8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1" w:themeTint="BF" w:sz="8" w:space="0"/>
        <w:left w:val="single" w:color="317BC0" w:themeColor="accent1" w:themeTint="BF" w:sz="8" w:space="0"/>
        <w:bottom w:val="single" w:color="317BC0" w:themeColor="accent1" w:themeTint="BF" w:sz="8" w:space="0"/>
        <w:right w:val="single" w:color="317BC0" w:themeColor="accent1" w:themeTint="BF" w:sz="8" w:space="0"/>
        <w:insideH w:val="single" w:color="317BC0" w:themeColor="accent1" w:themeTint="BF" w:sz="8" w:space="0"/>
        <w:insideV w:val="single" w:color="317BC0" w:themeColor="accent1" w:themeTint="BF" w:sz="8" w:space="0"/>
      </w:tblBorders>
    </w:tblPr>
    <w:tcPr>
      <w:shd w:val="clear" w:color="auto" w:fill="B8D3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17BC0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A8DA" w:themeFill="accent1" w:themeFillTint="7F"/>
      </w:tcPr>
    </w:tblStylePr>
    <w:tblStylePr w:type="band1Horz">
      <w:tblPr/>
      <w:tcPr>
        <w:shd w:val="clear" w:color="auto" w:fill="71A8D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28282" w:themeColor="accent2" w:themeTint="BF" w:sz="8" w:space="0"/>
        <w:left w:val="single" w:color="828282" w:themeColor="accent2" w:themeTint="BF" w:sz="8" w:space="0"/>
        <w:bottom w:val="single" w:color="828282" w:themeColor="accent2" w:themeTint="BF" w:sz="8" w:space="0"/>
        <w:right w:val="single" w:color="828282" w:themeColor="accent2" w:themeTint="BF" w:sz="8" w:space="0"/>
        <w:insideH w:val="single" w:color="828282" w:themeColor="accent2" w:themeTint="BF" w:sz="8" w:space="0"/>
        <w:insideV w:val="single" w:color="828282" w:themeColor="accent2" w:themeTint="BF" w:sz="8" w:space="0"/>
      </w:tblBorders>
    </w:tblPr>
    <w:tcPr>
      <w:shd w:val="clear" w:color="auto" w:fill="D5D5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28282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ACAC" w:themeFill="accent2" w:themeFillTint="7F"/>
      </w:tcPr>
    </w:tblStylePr>
    <w:tblStylePr w:type="band1Horz">
      <w:tblPr/>
      <w:tcPr>
        <w:shd w:val="clear" w:color="auto" w:fill="ACACA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3" w:themeTint="BF" w:sz="8" w:space="0"/>
        <w:left w:val="single" w:color="317BC0" w:themeColor="accent3" w:themeTint="BF" w:sz="8" w:space="0"/>
        <w:bottom w:val="single" w:color="317BC0" w:themeColor="accent3" w:themeTint="BF" w:sz="8" w:space="0"/>
        <w:right w:val="single" w:color="317BC0" w:themeColor="accent3" w:themeTint="BF" w:sz="8" w:space="0"/>
        <w:insideH w:val="single" w:color="317BC0" w:themeColor="accent3" w:themeTint="BF" w:sz="8" w:space="0"/>
        <w:insideV w:val="single" w:color="317BC0" w:themeColor="accent3" w:themeTint="BF" w:sz="8" w:space="0"/>
      </w:tblBorders>
    </w:tblPr>
    <w:tcPr>
      <w:shd w:val="clear" w:color="auto" w:fill="B8D3E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17BC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A8DA" w:themeFill="accent3" w:themeFillTint="7F"/>
      </w:tcPr>
    </w:tblStylePr>
    <w:tblStylePr w:type="band1Horz">
      <w:tblPr/>
      <w:tcPr>
        <w:shd w:val="clear" w:color="auto" w:fill="71A8D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4" w:themeTint="BF" w:sz="8" w:space="0"/>
        <w:left w:val="single" w:color="317BC0" w:themeColor="accent4" w:themeTint="BF" w:sz="8" w:space="0"/>
        <w:bottom w:val="single" w:color="317BC0" w:themeColor="accent4" w:themeTint="BF" w:sz="8" w:space="0"/>
        <w:right w:val="single" w:color="317BC0" w:themeColor="accent4" w:themeTint="BF" w:sz="8" w:space="0"/>
        <w:insideH w:val="single" w:color="317BC0" w:themeColor="accent4" w:themeTint="BF" w:sz="8" w:space="0"/>
        <w:insideV w:val="single" w:color="317BC0" w:themeColor="accent4" w:themeTint="BF" w:sz="8" w:space="0"/>
      </w:tblBorders>
    </w:tblPr>
    <w:tcPr>
      <w:shd w:val="clear" w:color="auto" w:fill="B8D3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17BC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A8DA" w:themeFill="accent4" w:themeFillTint="7F"/>
      </w:tcPr>
    </w:tblStylePr>
    <w:tblStylePr w:type="band1Horz">
      <w:tblPr/>
      <w:tcPr>
        <w:shd w:val="clear" w:color="auto" w:fill="71A8DA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5" w:themeTint="BF" w:sz="8" w:space="0"/>
        <w:left w:val="single" w:color="317BC0" w:themeColor="accent5" w:themeTint="BF" w:sz="8" w:space="0"/>
        <w:bottom w:val="single" w:color="317BC0" w:themeColor="accent5" w:themeTint="BF" w:sz="8" w:space="0"/>
        <w:right w:val="single" w:color="317BC0" w:themeColor="accent5" w:themeTint="BF" w:sz="8" w:space="0"/>
        <w:insideH w:val="single" w:color="317BC0" w:themeColor="accent5" w:themeTint="BF" w:sz="8" w:space="0"/>
        <w:insideV w:val="single" w:color="317BC0" w:themeColor="accent5" w:themeTint="BF" w:sz="8" w:space="0"/>
      </w:tblBorders>
    </w:tblPr>
    <w:tcPr>
      <w:shd w:val="clear" w:color="auto" w:fill="B8D3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17BC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A8DA" w:themeFill="accent5" w:themeFillTint="7F"/>
      </w:tcPr>
    </w:tblStylePr>
    <w:tblStylePr w:type="band1Horz">
      <w:tblPr/>
      <w:tcPr>
        <w:shd w:val="clear" w:color="auto" w:fill="71A8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317BC0" w:themeColor="accent6" w:themeTint="BF" w:sz="8" w:space="0"/>
        <w:left w:val="single" w:color="317BC0" w:themeColor="accent6" w:themeTint="BF" w:sz="8" w:space="0"/>
        <w:bottom w:val="single" w:color="317BC0" w:themeColor="accent6" w:themeTint="BF" w:sz="8" w:space="0"/>
        <w:right w:val="single" w:color="317BC0" w:themeColor="accent6" w:themeTint="BF" w:sz="8" w:space="0"/>
        <w:insideH w:val="single" w:color="317BC0" w:themeColor="accent6" w:themeTint="BF" w:sz="8" w:space="0"/>
        <w:insideV w:val="single" w:color="317BC0" w:themeColor="accent6" w:themeTint="BF" w:sz="8" w:space="0"/>
      </w:tblBorders>
    </w:tblPr>
    <w:tcPr>
      <w:shd w:val="clear" w:color="auto" w:fill="B8D3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17BC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A8DA" w:themeFill="accent6" w:themeFillTint="7F"/>
      </w:tcPr>
    </w:tblStylePr>
    <w:tblStylePr w:type="band1Horz">
      <w:tblPr/>
      <w:tcPr>
        <w:shd w:val="clear" w:color="auto" w:fill="71A8D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A1A1A" w:themeColor="text1" w:sz="8" w:space="0"/>
        <w:left w:val="single" w:color="1A1A1A" w:themeColor="text1" w:sz="8" w:space="0"/>
        <w:bottom w:val="single" w:color="1A1A1A" w:themeColor="text1" w:sz="8" w:space="0"/>
        <w:right w:val="single" w:color="1A1A1A" w:themeColor="text1" w:sz="8" w:space="0"/>
        <w:insideH w:val="single" w:color="1A1A1A" w:themeColor="text1" w:sz="8" w:space="0"/>
        <w:insideV w:val="single" w:color="1A1A1A" w:themeColor="text1" w:sz="8" w:space="0"/>
      </w:tblBorders>
    </w:tblPr>
    <w:tcPr>
      <w:shd w:val="clear" w:color="auto" w:fill="C6C6C6" w:themeFill="text1" w:themeFillTint="3F"/>
    </w:tcPr>
    <w:tblStylePr w:type="firstRow">
      <w:rPr>
        <w:b/>
        <w:bCs/>
        <w:color w:val="1A1A1A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A1A1A" w:themeColor="text1"/>
      </w:rPr>
      <w:tblPr/>
      <w:tcPr>
        <w:tcBorders>
          <w:top w:val="single" w:color="1A1A1A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1D1" w:themeFill="text1" w:themeFillTint="33"/>
      </w:tcPr>
    </w:tblStylePr>
    <w:tblStylePr w:type="band1Vert">
      <w:tblPr/>
      <w:tcPr>
        <w:shd w:val="clear" w:color="auto" w:fill="8C8C8C" w:themeFill="text1" w:themeFillTint="7F"/>
      </w:tcPr>
    </w:tblStylePr>
    <w:tblStylePr w:type="band1Horz">
      <w:tblPr/>
      <w:tcPr>
        <w:tcBorders>
          <w:insideH w:val="single" w:color="1A1A1A" w:themeColor="text1" w:sz="6" w:space="0"/>
          <w:insideV w:val="single" w:color="1A1A1A" w:themeColor="text1" w:sz="6" w:space="0"/>
        </w:tcBorders>
        <w:shd w:val="clear" w:color="auto" w:fill="8C8C8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1" w:sz="8" w:space="0"/>
        <w:left w:val="single" w:color="1F4E79" w:themeColor="accent1" w:sz="8" w:space="0"/>
        <w:bottom w:val="single" w:color="1F4E79" w:themeColor="accent1" w:sz="8" w:space="0"/>
        <w:right w:val="single" w:color="1F4E79" w:themeColor="accent1" w:sz="8" w:space="0"/>
        <w:insideH w:val="single" w:color="1F4E79" w:themeColor="accent1" w:sz="8" w:space="0"/>
        <w:insideV w:val="single" w:color="1F4E79" w:themeColor="accent1" w:sz="8" w:space="0"/>
      </w:tblBorders>
    </w:tblPr>
    <w:tcPr>
      <w:shd w:val="clear" w:color="auto" w:fill="B8D3ED" w:themeFill="accent1" w:themeFillTint="3F"/>
    </w:tcPr>
    <w:tblStylePr w:type="firstRow">
      <w:rPr>
        <w:b/>
        <w:bCs/>
        <w:color w:val="1A1A1A" w:themeColor="text1"/>
      </w:rPr>
      <w:tblPr/>
      <w:tcPr>
        <w:shd w:val="clear" w:color="auto" w:fill="E2EDF7" w:themeFill="accent1" w:themeFillTint="19"/>
      </w:tcPr>
    </w:tblStylePr>
    <w:tblStylePr w:type="lastRow">
      <w:rPr>
        <w:b/>
        <w:bCs/>
        <w:color w:val="1A1A1A" w:themeColor="text1"/>
      </w:rPr>
      <w:tblPr/>
      <w:tcPr>
        <w:tcBorders>
          <w:top w:val="single" w:color="1A1A1A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DCF0" w:themeFill="accent1" w:themeFillTint="33"/>
      </w:tcPr>
    </w:tblStylePr>
    <w:tblStylePr w:type="band1Vert">
      <w:tblPr/>
      <w:tcPr>
        <w:shd w:val="clear" w:color="auto" w:fill="71A8DA" w:themeFill="accent1" w:themeFillTint="7F"/>
      </w:tcPr>
    </w:tblStylePr>
    <w:tblStylePr w:type="band1Horz">
      <w:tblPr/>
      <w:tcPr>
        <w:tcBorders>
          <w:insideH w:val="single" w:color="1F4E79" w:themeColor="accent1" w:sz="6" w:space="0"/>
          <w:insideV w:val="single" w:color="1F4E79" w:themeColor="accent1" w:sz="6" w:space="0"/>
        </w:tcBorders>
        <w:shd w:val="clear" w:color="auto" w:fill="71A8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595959" w:themeColor="accent2" w:sz="8" w:space="0"/>
        <w:left w:val="single" w:color="595959" w:themeColor="accent2" w:sz="8" w:space="0"/>
        <w:bottom w:val="single" w:color="595959" w:themeColor="accent2" w:sz="8" w:space="0"/>
        <w:right w:val="single" w:color="595959" w:themeColor="accent2" w:sz="8" w:space="0"/>
        <w:insideH w:val="single" w:color="595959" w:themeColor="accent2" w:sz="8" w:space="0"/>
        <w:insideV w:val="single" w:color="595959" w:themeColor="accent2" w:sz="8" w:space="0"/>
      </w:tblBorders>
    </w:tblPr>
    <w:tcPr>
      <w:shd w:val="clear" w:color="auto" w:fill="D5D5D5" w:themeFill="accent2" w:themeFillTint="3F"/>
    </w:tcPr>
    <w:tblStylePr w:type="firstRow">
      <w:rPr>
        <w:b/>
        <w:bCs/>
        <w:color w:val="1A1A1A" w:themeColor="text1"/>
      </w:rPr>
      <w:tblPr/>
      <w:tcPr>
        <w:shd w:val="clear" w:color="auto" w:fill="EEEEEE" w:themeFill="accent2" w:themeFillTint="19"/>
      </w:tcPr>
    </w:tblStylePr>
    <w:tblStylePr w:type="lastRow">
      <w:rPr>
        <w:b/>
        <w:bCs/>
        <w:color w:val="1A1A1A" w:themeColor="text1"/>
      </w:rPr>
      <w:tblPr/>
      <w:tcPr>
        <w:tcBorders>
          <w:top w:val="single" w:color="1A1A1A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2" w:themeFillTint="33"/>
      </w:tcPr>
    </w:tblStylePr>
    <w:tblStylePr w:type="band1Vert">
      <w:tblPr/>
      <w:tcPr>
        <w:shd w:val="clear" w:color="auto" w:fill="ACACAC" w:themeFill="accent2" w:themeFillTint="7F"/>
      </w:tcPr>
    </w:tblStylePr>
    <w:tblStylePr w:type="band1Horz">
      <w:tblPr/>
      <w:tcPr>
        <w:tcBorders>
          <w:insideH w:val="single" w:color="595959" w:themeColor="accent2" w:sz="6" w:space="0"/>
          <w:insideV w:val="single" w:color="595959" w:themeColor="accent2" w:sz="6" w:space="0"/>
        </w:tcBorders>
        <w:shd w:val="clear" w:color="auto" w:fill="ACACA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3" w:sz="8" w:space="0"/>
        <w:left w:val="single" w:color="1F4E79" w:themeColor="accent3" w:sz="8" w:space="0"/>
        <w:bottom w:val="single" w:color="1F4E79" w:themeColor="accent3" w:sz="8" w:space="0"/>
        <w:right w:val="single" w:color="1F4E79" w:themeColor="accent3" w:sz="8" w:space="0"/>
        <w:insideH w:val="single" w:color="1F4E79" w:themeColor="accent3" w:sz="8" w:space="0"/>
        <w:insideV w:val="single" w:color="1F4E79" w:themeColor="accent3" w:sz="8" w:space="0"/>
      </w:tblBorders>
    </w:tblPr>
    <w:tcPr>
      <w:shd w:val="clear" w:color="auto" w:fill="B8D3ED" w:themeFill="accent3" w:themeFillTint="3F"/>
    </w:tcPr>
    <w:tblStylePr w:type="firstRow">
      <w:rPr>
        <w:b/>
        <w:bCs/>
        <w:color w:val="1A1A1A" w:themeColor="text1"/>
      </w:rPr>
      <w:tblPr/>
      <w:tcPr>
        <w:shd w:val="clear" w:color="auto" w:fill="E2EDF7" w:themeFill="accent3" w:themeFillTint="19"/>
      </w:tcPr>
    </w:tblStylePr>
    <w:tblStylePr w:type="lastRow">
      <w:rPr>
        <w:b/>
        <w:bCs/>
        <w:color w:val="1A1A1A" w:themeColor="text1"/>
      </w:rPr>
      <w:tblPr/>
      <w:tcPr>
        <w:tcBorders>
          <w:top w:val="single" w:color="1A1A1A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DCF0" w:themeFill="accent3" w:themeFillTint="33"/>
      </w:tcPr>
    </w:tblStylePr>
    <w:tblStylePr w:type="band1Vert">
      <w:tblPr/>
      <w:tcPr>
        <w:shd w:val="clear" w:color="auto" w:fill="71A8DA" w:themeFill="accent3" w:themeFillTint="7F"/>
      </w:tcPr>
    </w:tblStylePr>
    <w:tblStylePr w:type="band1Horz">
      <w:tblPr/>
      <w:tcPr>
        <w:tcBorders>
          <w:insideH w:val="single" w:color="1F4E79" w:themeColor="accent3" w:sz="6" w:space="0"/>
          <w:insideV w:val="single" w:color="1F4E79" w:themeColor="accent3" w:sz="6" w:space="0"/>
        </w:tcBorders>
        <w:shd w:val="clear" w:color="auto" w:fill="71A8D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4" w:sz="8" w:space="0"/>
        <w:left w:val="single" w:color="1F4E79" w:themeColor="accent4" w:sz="8" w:space="0"/>
        <w:bottom w:val="single" w:color="1F4E79" w:themeColor="accent4" w:sz="8" w:space="0"/>
        <w:right w:val="single" w:color="1F4E79" w:themeColor="accent4" w:sz="8" w:space="0"/>
        <w:insideH w:val="single" w:color="1F4E79" w:themeColor="accent4" w:sz="8" w:space="0"/>
        <w:insideV w:val="single" w:color="1F4E79" w:themeColor="accent4" w:sz="8" w:space="0"/>
      </w:tblBorders>
    </w:tblPr>
    <w:tcPr>
      <w:shd w:val="clear" w:color="auto" w:fill="B8D3ED" w:themeFill="accent4" w:themeFillTint="3F"/>
    </w:tcPr>
    <w:tblStylePr w:type="firstRow">
      <w:rPr>
        <w:b/>
        <w:bCs/>
        <w:color w:val="1A1A1A" w:themeColor="text1"/>
      </w:rPr>
      <w:tblPr/>
      <w:tcPr>
        <w:shd w:val="clear" w:color="auto" w:fill="E2EDF7" w:themeFill="accent4" w:themeFillTint="19"/>
      </w:tcPr>
    </w:tblStylePr>
    <w:tblStylePr w:type="lastRow">
      <w:rPr>
        <w:b/>
        <w:bCs/>
        <w:color w:val="1A1A1A" w:themeColor="text1"/>
      </w:rPr>
      <w:tblPr/>
      <w:tcPr>
        <w:tcBorders>
          <w:top w:val="single" w:color="1A1A1A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DCF0" w:themeFill="accent4" w:themeFillTint="33"/>
      </w:tcPr>
    </w:tblStylePr>
    <w:tblStylePr w:type="band1Vert">
      <w:tblPr/>
      <w:tcPr>
        <w:shd w:val="clear" w:color="auto" w:fill="71A8DA" w:themeFill="accent4" w:themeFillTint="7F"/>
      </w:tcPr>
    </w:tblStylePr>
    <w:tblStylePr w:type="band1Horz">
      <w:tblPr/>
      <w:tcPr>
        <w:tcBorders>
          <w:insideH w:val="single" w:color="1F4E79" w:themeColor="accent4" w:sz="6" w:space="0"/>
          <w:insideV w:val="single" w:color="1F4E79" w:themeColor="accent4" w:sz="6" w:space="0"/>
        </w:tcBorders>
        <w:shd w:val="clear" w:color="auto" w:fill="71A8D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5" w:sz="8" w:space="0"/>
        <w:left w:val="single" w:color="1F4E79" w:themeColor="accent5" w:sz="8" w:space="0"/>
        <w:bottom w:val="single" w:color="1F4E79" w:themeColor="accent5" w:sz="8" w:space="0"/>
        <w:right w:val="single" w:color="1F4E79" w:themeColor="accent5" w:sz="8" w:space="0"/>
        <w:insideH w:val="single" w:color="1F4E79" w:themeColor="accent5" w:sz="8" w:space="0"/>
        <w:insideV w:val="single" w:color="1F4E79" w:themeColor="accent5" w:sz="8" w:space="0"/>
      </w:tblBorders>
    </w:tblPr>
    <w:tcPr>
      <w:shd w:val="clear" w:color="auto" w:fill="B8D3ED" w:themeFill="accent5" w:themeFillTint="3F"/>
    </w:tcPr>
    <w:tblStylePr w:type="firstRow">
      <w:rPr>
        <w:b/>
        <w:bCs/>
        <w:color w:val="1A1A1A" w:themeColor="text1"/>
      </w:rPr>
      <w:tblPr/>
      <w:tcPr>
        <w:shd w:val="clear" w:color="auto" w:fill="E2EDF7" w:themeFill="accent5" w:themeFillTint="19"/>
      </w:tcPr>
    </w:tblStylePr>
    <w:tblStylePr w:type="lastRow">
      <w:rPr>
        <w:b/>
        <w:bCs/>
        <w:color w:val="1A1A1A" w:themeColor="text1"/>
      </w:rPr>
      <w:tblPr/>
      <w:tcPr>
        <w:tcBorders>
          <w:top w:val="single" w:color="1A1A1A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DCF0" w:themeFill="accent5" w:themeFillTint="33"/>
      </w:tcPr>
    </w:tblStylePr>
    <w:tblStylePr w:type="band1Vert">
      <w:tblPr/>
      <w:tcPr>
        <w:shd w:val="clear" w:color="auto" w:fill="71A8DA" w:themeFill="accent5" w:themeFillTint="7F"/>
      </w:tcPr>
    </w:tblStylePr>
    <w:tblStylePr w:type="band1Horz">
      <w:tblPr/>
      <w:tcPr>
        <w:tcBorders>
          <w:insideH w:val="single" w:color="1F4E79" w:themeColor="accent5" w:sz="6" w:space="0"/>
          <w:insideV w:val="single" w:color="1F4E79" w:themeColor="accent5" w:sz="6" w:space="0"/>
        </w:tcBorders>
        <w:shd w:val="clear" w:color="auto" w:fill="71A8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1A1A1A" w:themeColor="text1"/>
    </w:rPr>
    <w:tblPr>
      <w:tblStyleRowBandSize w:val="1"/>
      <w:tblStyleColBandSize w:val="1"/>
      <w:tblBorders>
        <w:top w:val="single" w:color="1F4E79" w:themeColor="accent6" w:sz="8" w:space="0"/>
        <w:left w:val="single" w:color="1F4E79" w:themeColor="accent6" w:sz="8" w:space="0"/>
        <w:bottom w:val="single" w:color="1F4E79" w:themeColor="accent6" w:sz="8" w:space="0"/>
        <w:right w:val="single" w:color="1F4E79" w:themeColor="accent6" w:sz="8" w:space="0"/>
        <w:insideH w:val="single" w:color="1F4E79" w:themeColor="accent6" w:sz="8" w:space="0"/>
        <w:insideV w:val="single" w:color="1F4E79" w:themeColor="accent6" w:sz="8" w:space="0"/>
      </w:tblBorders>
    </w:tblPr>
    <w:tcPr>
      <w:shd w:val="clear" w:color="auto" w:fill="B8D3ED" w:themeFill="accent6" w:themeFillTint="3F"/>
    </w:tcPr>
    <w:tblStylePr w:type="firstRow">
      <w:rPr>
        <w:b/>
        <w:bCs/>
        <w:color w:val="1A1A1A" w:themeColor="text1"/>
      </w:rPr>
      <w:tblPr/>
      <w:tcPr>
        <w:shd w:val="clear" w:color="auto" w:fill="E2EDF7" w:themeFill="accent6" w:themeFillTint="19"/>
      </w:tcPr>
    </w:tblStylePr>
    <w:tblStylePr w:type="lastRow">
      <w:rPr>
        <w:b/>
        <w:bCs/>
        <w:color w:val="1A1A1A" w:themeColor="text1"/>
      </w:rPr>
      <w:tblPr/>
      <w:tcPr>
        <w:tcBorders>
          <w:top w:val="single" w:color="1A1A1A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A1A1A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DCF0" w:themeFill="accent6" w:themeFillTint="33"/>
      </w:tcPr>
    </w:tblStylePr>
    <w:tblStylePr w:type="band1Vert">
      <w:tblPr/>
      <w:tcPr>
        <w:shd w:val="clear" w:color="auto" w:fill="71A8DA" w:themeFill="accent6" w:themeFillTint="7F"/>
      </w:tcPr>
    </w:tblStylePr>
    <w:tblStylePr w:type="band1Horz">
      <w:tblPr/>
      <w:tcPr>
        <w:tcBorders>
          <w:insideH w:val="single" w:color="1F4E79" w:themeColor="accent6" w:sz="6" w:space="0"/>
          <w:insideV w:val="single" w:color="1F4E79" w:themeColor="accent6" w:sz="6" w:space="0"/>
        </w:tcBorders>
        <w:shd w:val="clear" w:color="auto" w:fill="71A8D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6C6C6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A1A1A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A1A1A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A1A1A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A1A1A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C8C8C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C8C8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3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F4E7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F4E79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A8D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A8D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5D5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9595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9595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9595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95959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CACAC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CACA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3E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F4E7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F4E7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A8D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A8D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3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F4E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F4E79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A8DA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A8DA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3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F4E7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F4E7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A8D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A8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3E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F4E7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F4E7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F4E79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A8D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A8D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A1A1A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0C0C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31313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3131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31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313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4E7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F26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73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73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9595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C2C2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24242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2424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4E7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F263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73A5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73A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4E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F263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73A5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73A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4E7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F263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73A5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73A5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4E7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1A1A1A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F263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73A5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73A5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3A5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595959" w:themeColor="accent2" w:sz="24" w:space="0"/>
        <w:left w:val="single" w:color="1A1A1A" w:themeColor="text1" w:sz="4" w:space="0"/>
        <w:bottom w:val="single" w:color="1A1A1A" w:themeColor="text1" w:sz="4" w:space="0"/>
        <w:right w:val="single" w:color="1A1A1A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9595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0F0F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0F0F" w:themeColor="text1" w:themeShade="99" w:sz="4" w:space="0"/>
          <w:insideV w:val="nil"/>
        </w:tcBorders>
        <w:shd w:val="clear" w:color="auto" w:fill="0F0F0F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313" w:themeFill="text1" w:themeFillShade="BF"/>
      </w:tcPr>
    </w:tblStylePr>
    <w:tblStylePr w:type="band1Vert">
      <w:tblPr/>
      <w:tcPr>
        <w:shd w:val="clear" w:color="auto" w:fill="A3A3A3" w:themeFill="text1" w:themeFillTint="66"/>
      </w:tcPr>
    </w:tblStylePr>
    <w:tblStylePr w:type="band1Horz">
      <w:tblPr/>
      <w:tcPr>
        <w:shd w:val="clear" w:color="auto" w:fill="8C8C8C" w:themeFill="text1" w:themeFillTint="7F"/>
      </w:tcPr>
    </w:tblStylePr>
    <w:tblStylePr w:type="neCell">
      <w:rPr>
        <w:color w:val="1A1A1A" w:themeColor="text1"/>
      </w:rPr>
    </w:tblStylePr>
    <w:tblStylePr w:type="nwCell">
      <w:rPr>
        <w:color w:val="1A1A1A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595959" w:themeColor="accent2" w:sz="24" w:space="0"/>
        <w:left w:val="single" w:color="1F4E79" w:themeColor="accent1" w:sz="4" w:space="0"/>
        <w:bottom w:val="single" w:color="1F4E79" w:themeColor="accent1" w:sz="4" w:space="0"/>
        <w:right w:val="single" w:color="1F4E79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D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9595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22E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22E48" w:themeColor="accent1" w:themeShade="99" w:sz="4" w:space="0"/>
          <w:insideV w:val="nil"/>
        </w:tcBorders>
        <w:shd w:val="clear" w:color="auto" w:fill="122E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E48" w:themeFill="accent1" w:themeFillShade="99"/>
      </w:tcPr>
    </w:tblStylePr>
    <w:tblStylePr w:type="band1Vert">
      <w:tblPr/>
      <w:tcPr>
        <w:shd w:val="clear" w:color="auto" w:fill="8CB9E1" w:themeFill="accent1" w:themeFillTint="66"/>
      </w:tcPr>
    </w:tblStylePr>
    <w:tblStylePr w:type="band1Horz">
      <w:tblPr/>
      <w:tcPr>
        <w:shd w:val="clear" w:color="auto" w:fill="71A8DA" w:themeFill="accent1" w:themeFillTint="7F"/>
      </w:tcPr>
    </w:tblStylePr>
    <w:tblStylePr w:type="neCell">
      <w:rPr>
        <w:color w:val="1A1A1A" w:themeColor="text1"/>
      </w:rPr>
    </w:tblStylePr>
    <w:tblStylePr w:type="nwCell">
      <w:rPr>
        <w:color w:val="1A1A1A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595959" w:themeColor="accent2" w:sz="24" w:space="0"/>
        <w:left w:val="single" w:color="595959" w:themeColor="accent2" w:sz="4" w:space="0"/>
        <w:bottom w:val="single" w:color="595959" w:themeColor="accent2" w:sz="4" w:space="0"/>
        <w:right w:val="single" w:color="595959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EE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9595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5353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53535" w:themeColor="accent2" w:themeShade="99" w:sz="4" w:space="0"/>
          <w:insideV w:val="nil"/>
        </w:tcBorders>
        <w:shd w:val="clear" w:color="auto" w:fill="35353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3535" w:themeFill="accent2" w:themeFillShade="99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1Horz">
      <w:tblPr/>
      <w:tcPr>
        <w:shd w:val="clear" w:color="auto" w:fill="ACACAC" w:themeFill="accent2" w:themeFillTint="7F"/>
      </w:tcPr>
    </w:tblStylePr>
    <w:tblStylePr w:type="neCell">
      <w:rPr>
        <w:color w:val="1A1A1A" w:themeColor="text1"/>
      </w:rPr>
    </w:tblStylePr>
    <w:tblStylePr w:type="nwCell">
      <w:rPr>
        <w:color w:val="1A1A1A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4" w:sz="24" w:space="0"/>
        <w:left w:val="single" w:color="1F4E79" w:themeColor="accent3" w:sz="4" w:space="0"/>
        <w:bottom w:val="single" w:color="1F4E79" w:themeColor="accent3" w:sz="4" w:space="0"/>
        <w:right w:val="single" w:color="1F4E7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D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F4E79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22E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22E48" w:themeColor="accent3" w:themeShade="99" w:sz="4" w:space="0"/>
          <w:insideV w:val="nil"/>
        </w:tcBorders>
        <w:shd w:val="clear" w:color="auto" w:fill="122E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E48" w:themeFill="accent3" w:themeFillShade="99"/>
      </w:tcPr>
    </w:tblStylePr>
    <w:tblStylePr w:type="band1Vert">
      <w:tblPr/>
      <w:tcPr>
        <w:shd w:val="clear" w:color="auto" w:fill="8CB9E1" w:themeFill="accent3" w:themeFillTint="66"/>
      </w:tcPr>
    </w:tblStylePr>
    <w:tblStylePr w:type="band1Horz">
      <w:tblPr/>
      <w:tcPr>
        <w:shd w:val="clear" w:color="auto" w:fill="71A8D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3" w:sz="24" w:space="0"/>
        <w:left w:val="single" w:color="1F4E79" w:themeColor="accent4" w:sz="4" w:space="0"/>
        <w:bottom w:val="single" w:color="1F4E79" w:themeColor="accent4" w:sz="4" w:space="0"/>
        <w:right w:val="single" w:color="1F4E79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D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F4E7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22E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22E48" w:themeColor="accent4" w:themeShade="99" w:sz="4" w:space="0"/>
          <w:insideV w:val="nil"/>
        </w:tcBorders>
        <w:shd w:val="clear" w:color="auto" w:fill="122E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E48" w:themeFill="accent4" w:themeFillShade="99"/>
      </w:tcPr>
    </w:tblStylePr>
    <w:tblStylePr w:type="band1Vert">
      <w:tblPr/>
      <w:tcPr>
        <w:shd w:val="clear" w:color="auto" w:fill="8CB9E1" w:themeFill="accent4" w:themeFillTint="66"/>
      </w:tcPr>
    </w:tblStylePr>
    <w:tblStylePr w:type="band1Horz">
      <w:tblPr/>
      <w:tcPr>
        <w:shd w:val="clear" w:color="auto" w:fill="71A8DA" w:themeFill="accent4" w:themeFillTint="7F"/>
      </w:tcPr>
    </w:tblStylePr>
    <w:tblStylePr w:type="neCell">
      <w:rPr>
        <w:color w:val="1A1A1A" w:themeColor="text1"/>
      </w:rPr>
    </w:tblStylePr>
    <w:tblStylePr w:type="nwCell">
      <w:rPr>
        <w:color w:val="1A1A1A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6" w:sz="24" w:space="0"/>
        <w:left w:val="single" w:color="1F4E79" w:themeColor="accent5" w:sz="4" w:space="0"/>
        <w:bottom w:val="single" w:color="1F4E79" w:themeColor="accent5" w:sz="4" w:space="0"/>
        <w:right w:val="single" w:color="1F4E79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D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F4E7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22E4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22E48" w:themeColor="accent5" w:themeShade="99" w:sz="4" w:space="0"/>
          <w:insideV w:val="nil"/>
        </w:tcBorders>
        <w:shd w:val="clear" w:color="auto" w:fill="122E4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E48" w:themeFill="accent5" w:themeFillShade="99"/>
      </w:tcPr>
    </w:tblStylePr>
    <w:tblStylePr w:type="band1Vert">
      <w:tblPr/>
      <w:tcPr>
        <w:shd w:val="clear" w:color="auto" w:fill="8CB9E1" w:themeFill="accent5" w:themeFillTint="66"/>
      </w:tcPr>
    </w:tblStylePr>
    <w:tblStylePr w:type="band1Horz">
      <w:tblPr/>
      <w:tcPr>
        <w:shd w:val="clear" w:color="auto" w:fill="71A8DA" w:themeFill="accent5" w:themeFillTint="7F"/>
      </w:tcPr>
    </w:tblStylePr>
    <w:tblStylePr w:type="neCell">
      <w:rPr>
        <w:color w:val="1A1A1A" w:themeColor="text1"/>
      </w:rPr>
    </w:tblStylePr>
    <w:tblStylePr w:type="nwCell">
      <w:rPr>
        <w:color w:val="1A1A1A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top w:val="single" w:color="1F4E79" w:themeColor="accent5" w:sz="24" w:space="0"/>
        <w:left w:val="single" w:color="1F4E79" w:themeColor="accent6" w:sz="4" w:space="0"/>
        <w:bottom w:val="single" w:color="1F4E79" w:themeColor="accent6" w:sz="4" w:space="0"/>
        <w:right w:val="single" w:color="1F4E79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D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F4E7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22E4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22E48" w:themeColor="accent6" w:themeShade="99" w:sz="4" w:space="0"/>
          <w:insideV w:val="nil"/>
        </w:tcBorders>
        <w:shd w:val="clear" w:color="auto" w:fill="122E4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E48" w:themeFill="accent6" w:themeFillShade="99"/>
      </w:tcPr>
    </w:tblStylePr>
    <w:tblStylePr w:type="band1Vert">
      <w:tblPr/>
      <w:tcPr>
        <w:shd w:val="clear" w:color="auto" w:fill="8CB9E1" w:themeFill="accent6" w:themeFillTint="66"/>
      </w:tcPr>
    </w:tblStylePr>
    <w:tblStylePr w:type="band1Horz">
      <w:tblPr/>
      <w:tcPr>
        <w:shd w:val="clear" w:color="auto" w:fill="71A8DA" w:themeFill="accent6" w:themeFillTint="7F"/>
      </w:tcPr>
    </w:tblStylePr>
    <w:tblStylePr w:type="neCell">
      <w:rPr>
        <w:color w:val="1A1A1A" w:themeColor="text1"/>
      </w:rPr>
    </w:tblStylePr>
    <w:tblStylePr w:type="nwCell">
      <w:rPr>
        <w:color w:val="1A1A1A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74747" w:themeFill="accent2" w:themeFillShade="CC"/>
      </w:tcPr>
    </w:tblStylePr>
    <w:tblStylePr w:type="lastRow">
      <w:rPr>
        <w:b/>
        <w:bCs/>
        <w:color w:val="474747" w:themeColor="accent2" w:themeShade="CC"/>
      </w:rPr>
      <w:tblPr/>
      <w:tcPr>
        <w:tcBorders>
          <w:top w:val="single" w:color="1A1A1A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C6C6" w:themeFill="text1" w:themeFillTint="3F"/>
      </w:tcPr>
    </w:tblStylePr>
    <w:tblStylePr w:type="band1Horz">
      <w:tblPr/>
      <w:tcPr>
        <w:shd w:val="clear" w:color="auto" w:fill="D1D1D1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</w:tblPr>
    <w:tcPr>
      <w:shd w:val="clear" w:color="auto" w:fill="E2ED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74747" w:themeFill="accent2" w:themeFillShade="CC"/>
      </w:tcPr>
    </w:tblStylePr>
    <w:tblStylePr w:type="lastRow">
      <w:rPr>
        <w:b/>
        <w:bCs/>
        <w:color w:val="474747" w:themeColor="accent2" w:themeShade="CC"/>
      </w:rPr>
      <w:tblPr/>
      <w:tcPr>
        <w:tcBorders>
          <w:top w:val="single" w:color="1A1A1A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3ED" w:themeFill="accent1" w:themeFillTint="3F"/>
      </w:tcPr>
    </w:tblStylePr>
    <w:tblStylePr w:type="band1Horz">
      <w:tblPr/>
      <w:tcPr>
        <w:shd w:val="clear" w:color="auto" w:fill="C5DC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</w:tblPr>
    <w:tcPr>
      <w:shd w:val="clear" w:color="auto" w:fill="EEEE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74747" w:themeFill="accent2" w:themeFillShade="CC"/>
      </w:tcPr>
    </w:tblStylePr>
    <w:tblStylePr w:type="lastRow">
      <w:rPr>
        <w:b/>
        <w:bCs/>
        <w:color w:val="474747" w:themeColor="accent2" w:themeShade="CC"/>
      </w:rPr>
      <w:tblPr/>
      <w:tcPr>
        <w:tcBorders>
          <w:top w:val="single" w:color="1A1A1A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</w:tblPr>
    <w:tcPr>
      <w:shd w:val="clear" w:color="auto" w:fill="E2EDF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83E60" w:themeFill="accent4" w:themeFillShade="CC"/>
      </w:tcPr>
    </w:tblStylePr>
    <w:tblStylePr w:type="lastRow">
      <w:rPr>
        <w:b/>
        <w:bCs/>
        <w:color w:val="183E60" w:themeColor="accent4" w:themeShade="CC"/>
      </w:rPr>
      <w:tblPr/>
      <w:tcPr>
        <w:tcBorders>
          <w:top w:val="single" w:color="1A1A1A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3ED" w:themeFill="accent3" w:themeFillTint="3F"/>
      </w:tcPr>
    </w:tblStylePr>
    <w:tblStylePr w:type="band1Horz">
      <w:tblPr/>
      <w:tcPr>
        <w:shd w:val="clear" w:color="auto" w:fill="C5DCF0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</w:tblPr>
    <w:tcPr>
      <w:shd w:val="clear" w:color="auto" w:fill="E2ED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83E60" w:themeFill="accent3" w:themeFillShade="CC"/>
      </w:tcPr>
    </w:tblStylePr>
    <w:tblStylePr w:type="lastRow">
      <w:rPr>
        <w:b/>
        <w:bCs/>
        <w:color w:val="183E60" w:themeColor="accent3" w:themeShade="CC"/>
      </w:rPr>
      <w:tblPr/>
      <w:tcPr>
        <w:tcBorders>
          <w:top w:val="single" w:color="1A1A1A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3ED" w:themeFill="accent4" w:themeFillTint="3F"/>
      </w:tcPr>
    </w:tblStylePr>
    <w:tblStylePr w:type="band1Horz">
      <w:tblPr/>
      <w:tcPr>
        <w:shd w:val="clear" w:color="auto" w:fill="C5DC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</w:tblPr>
    <w:tcPr>
      <w:shd w:val="clear" w:color="auto" w:fill="E2ED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83E60" w:themeFill="accent6" w:themeFillShade="CC"/>
      </w:tcPr>
    </w:tblStylePr>
    <w:tblStylePr w:type="lastRow">
      <w:rPr>
        <w:b/>
        <w:bCs/>
        <w:color w:val="183E60" w:themeColor="accent6" w:themeShade="CC"/>
      </w:rPr>
      <w:tblPr/>
      <w:tcPr>
        <w:tcBorders>
          <w:top w:val="single" w:color="1A1A1A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3ED" w:themeFill="accent5" w:themeFillTint="3F"/>
      </w:tcPr>
    </w:tblStylePr>
    <w:tblStylePr w:type="band1Horz">
      <w:tblPr/>
      <w:tcPr>
        <w:shd w:val="clear" w:color="auto" w:fill="C5DC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</w:tblPr>
    <w:tcPr>
      <w:shd w:val="clear" w:color="auto" w:fill="E2ED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83E60" w:themeFill="accent5" w:themeFillShade="CC"/>
      </w:tcPr>
    </w:tblStylePr>
    <w:tblStylePr w:type="lastRow">
      <w:rPr>
        <w:b/>
        <w:bCs/>
        <w:color w:val="183E60" w:themeColor="accent5" w:themeShade="CC"/>
      </w:rPr>
      <w:tblPr/>
      <w:tcPr>
        <w:tcBorders>
          <w:top w:val="single" w:color="1A1A1A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3ED" w:themeFill="accent6" w:themeFillTint="3F"/>
      </w:tcPr>
    </w:tblStylePr>
    <w:tblStylePr w:type="band1Horz">
      <w:tblPr/>
      <w:tcPr>
        <w:shd w:val="clear" w:color="auto" w:fill="C5DCF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1D1D1" w:themeFill="text1" w:themeFillTint="33"/>
    </w:tcPr>
    <w:tblStylePr w:type="firstRow">
      <w:rPr>
        <w:b/>
        <w:bCs/>
      </w:rPr>
      <w:tblPr/>
      <w:tcPr>
        <w:shd w:val="clear" w:color="auto" w:fill="A3A3A3" w:themeFill="text1" w:themeFillTint="66"/>
      </w:tcPr>
    </w:tblStylePr>
    <w:tblStylePr w:type="lastRow">
      <w:rPr>
        <w:b/>
        <w:bCs/>
        <w:color w:val="1A1A1A" w:themeColor="text1"/>
      </w:rPr>
      <w:tblPr/>
      <w:tcPr>
        <w:shd w:val="clear" w:color="auto" w:fill="A3A3A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31313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31313" w:themeFill="text1" w:themeFillShade="BF"/>
      </w:tcPr>
    </w:tblStylePr>
    <w:tblStylePr w:type="band1Vert">
      <w:tblPr/>
      <w:tcPr>
        <w:shd w:val="clear" w:color="auto" w:fill="8C8C8C" w:themeFill="text1" w:themeFillTint="7F"/>
      </w:tcPr>
    </w:tblStylePr>
    <w:tblStylePr w:type="band1Horz">
      <w:tblPr/>
      <w:tcPr>
        <w:shd w:val="clear" w:color="auto" w:fill="8C8C8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DCF0" w:themeFill="accent1" w:themeFillTint="33"/>
    </w:tcPr>
    <w:tblStylePr w:type="firstRow">
      <w:rPr>
        <w:b/>
        <w:bCs/>
      </w:rPr>
      <w:tblPr/>
      <w:tcPr>
        <w:shd w:val="clear" w:color="auto" w:fill="8CB9E1" w:themeFill="accent1" w:themeFillTint="66"/>
      </w:tcPr>
    </w:tblStylePr>
    <w:tblStylePr w:type="lastRow">
      <w:rPr>
        <w:b/>
        <w:bCs/>
        <w:color w:val="1A1A1A" w:themeColor="text1"/>
      </w:rPr>
      <w:tblPr/>
      <w:tcPr>
        <w:shd w:val="clear" w:color="auto" w:fill="8CB9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73A5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73A5A" w:themeFill="accent1" w:themeFillShade="BF"/>
      </w:tcPr>
    </w:tblStylePr>
    <w:tblStylePr w:type="band1Vert">
      <w:tblPr/>
      <w:tcPr>
        <w:shd w:val="clear" w:color="auto" w:fill="71A8DA" w:themeFill="accent1" w:themeFillTint="7F"/>
      </w:tcPr>
    </w:tblStylePr>
    <w:tblStylePr w:type="band1Horz">
      <w:tblPr/>
      <w:tcPr>
        <w:shd w:val="clear" w:color="auto" w:fill="71A8D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DDDDD" w:themeFill="accent2" w:themeFillTint="33"/>
    </w:tcPr>
    <w:tblStylePr w:type="firstRow">
      <w:rPr>
        <w:b/>
        <w:bCs/>
      </w:rPr>
      <w:tblPr/>
      <w:tcPr>
        <w:shd w:val="clear" w:color="auto" w:fill="BCBCBC" w:themeFill="accent2" w:themeFillTint="66"/>
      </w:tcPr>
    </w:tblStylePr>
    <w:tblStylePr w:type="lastRow">
      <w:rPr>
        <w:b/>
        <w:bCs/>
        <w:color w:val="1A1A1A" w:themeColor="text1"/>
      </w:rPr>
      <w:tblPr/>
      <w:tcPr>
        <w:shd w:val="clear" w:color="auto" w:fill="BCBCB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2424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24242" w:themeFill="accent2" w:themeFillShade="BF"/>
      </w:tcPr>
    </w:tblStylePr>
    <w:tblStylePr w:type="band1Vert">
      <w:tblPr/>
      <w:tcPr>
        <w:shd w:val="clear" w:color="auto" w:fill="ACACAC" w:themeFill="accent2" w:themeFillTint="7F"/>
      </w:tcPr>
    </w:tblStylePr>
    <w:tblStylePr w:type="band1Horz">
      <w:tblPr/>
      <w:tcPr>
        <w:shd w:val="clear" w:color="auto" w:fill="ACACA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DCF0" w:themeFill="accent3" w:themeFillTint="33"/>
    </w:tcPr>
    <w:tblStylePr w:type="firstRow">
      <w:rPr>
        <w:b/>
        <w:bCs/>
      </w:rPr>
      <w:tblPr/>
      <w:tcPr>
        <w:shd w:val="clear" w:color="auto" w:fill="8CB9E1" w:themeFill="accent3" w:themeFillTint="66"/>
      </w:tcPr>
    </w:tblStylePr>
    <w:tblStylePr w:type="lastRow">
      <w:rPr>
        <w:b/>
        <w:bCs/>
        <w:color w:val="1A1A1A" w:themeColor="text1"/>
      </w:rPr>
      <w:tblPr/>
      <w:tcPr>
        <w:shd w:val="clear" w:color="auto" w:fill="8CB9E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73A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73A5A" w:themeFill="accent3" w:themeFillShade="BF"/>
      </w:tcPr>
    </w:tblStylePr>
    <w:tblStylePr w:type="band1Vert">
      <w:tblPr/>
      <w:tcPr>
        <w:shd w:val="clear" w:color="auto" w:fill="71A8DA" w:themeFill="accent3" w:themeFillTint="7F"/>
      </w:tcPr>
    </w:tblStylePr>
    <w:tblStylePr w:type="band1Horz">
      <w:tblPr/>
      <w:tcPr>
        <w:shd w:val="clear" w:color="auto" w:fill="71A8D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DCF0" w:themeFill="accent4" w:themeFillTint="33"/>
    </w:tcPr>
    <w:tblStylePr w:type="firstRow">
      <w:rPr>
        <w:b/>
        <w:bCs/>
      </w:rPr>
      <w:tblPr/>
      <w:tcPr>
        <w:shd w:val="clear" w:color="auto" w:fill="8CB9E1" w:themeFill="accent4" w:themeFillTint="66"/>
      </w:tcPr>
    </w:tblStylePr>
    <w:tblStylePr w:type="lastRow">
      <w:rPr>
        <w:b/>
        <w:bCs/>
        <w:color w:val="1A1A1A" w:themeColor="text1"/>
      </w:rPr>
      <w:tblPr/>
      <w:tcPr>
        <w:shd w:val="clear" w:color="auto" w:fill="8CB9E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73A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73A5A" w:themeFill="accent4" w:themeFillShade="BF"/>
      </w:tcPr>
    </w:tblStylePr>
    <w:tblStylePr w:type="band1Vert">
      <w:tblPr/>
      <w:tcPr>
        <w:shd w:val="clear" w:color="auto" w:fill="71A8DA" w:themeFill="accent4" w:themeFillTint="7F"/>
      </w:tcPr>
    </w:tblStylePr>
    <w:tblStylePr w:type="band1Horz">
      <w:tblPr/>
      <w:tcPr>
        <w:shd w:val="clear" w:color="auto" w:fill="71A8DA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DCF0" w:themeFill="accent5" w:themeFillTint="33"/>
    </w:tcPr>
    <w:tblStylePr w:type="firstRow">
      <w:rPr>
        <w:b/>
        <w:bCs/>
      </w:rPr>
      <w:tblPr/>
      <w:tcPr>
        <w:shd w:val="clear" w:color="auto" w:fill="8CB9E1" w:themeFill="accent5" w:themeFillTint="66"/>
      </w:tcPr>
    </w:tblStylePr>
    <w:tblStylePr w:type="lastRow">
      <w:rPr>
        <w:b/>
        <w:bCs/>
        <w:color w:val="1A1A1A" w:themeColor="text1"/>
      </w:rPr>
      <w:tblPr/>
      <w:tcPr>
        <w:shd w:val="clear" w:color="auto" w:fill="8CB9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73A5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73A5A" w:themeFill="accent5" w:themeFillShade="BF"/>
      </w:tcPr>
    </w:tblStylePr>
    <w:tblStylePr w:type="band1Vert">
      <w:tblPr/>
      <w:tcPr>
        <w:shd w:val="clear" w:color="auto" w:fill="71A8DA" w:themeFill="accent5" w:themeFillTint="7F"/>
      </w:tcPr>
    </w:tblStylePr>
    <w:tblStylePr w:type="band1Horz">
      <w:tblPr/>
      <w:tcPr>
        <w:shd w:val="clear" w:color="auto" w:fill="71A8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1A1A1A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DCF0" w:themeFill="accent6" w:themeFillTint="33"/>
    </w:tcPr>
    <w:tblStylePr w:type="firstRow">
      <w:rPr>
        <w:b/>
        <w:bCs/>
      </w:rPr>
      <w:tblPr/>
      <w:tcPr>
        <w:shd w:val="clear" w:color="auto" w:fill="8CB9E1" w:themeFill="accent6" w:themeFillTint="66"/>
      </w:tcPr>
    </w:tblStylePr>
    <w:tblStylePr w:type="lastRow">
      <w:rPr>
        <w:b/>
        <w:bCs/>
        <w:color w:val="1A1A1A" w:themeColor="text1"/>
      </w:rPr>
      <w:tblPr/>
      <w:tcPr>
        <w:shd w:val="clear" w:color="auto" w:fill="8CB9E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73A5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73A5A" w:themeFill="accent6" w:themeFillShade="BF"/>
      </w:tcPr>
    </w:tblStylePr>
    <w:tblStylePr w:type="band1Vert">
      <w:tblPr/>
      <w:tcPr>
        <w:shd w:val="clear" w:color="auto" w:fill="71A8DA" w:themeFill="accent6" w:themeFillTint="7F"/>
      </w:tcPr>
    </w:tblStylePr>
    <w:tblStylePr w:type="band1Horz">
      <w:tblPr/>
      <w:tcPr>
        <w:shd w:val="clear" w:color="auto" w:fill="71A8D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278776804" /><Relationship Type="http://schemas.openxmlformats.org/officeDocument/2006/relationships/image" Target="/media/image4.png" Id="rId594726100" /></Relationships>
</file>

<file path=word/theme/theme1.xml><?xml version="1.0" encoding="utf-8"?>
<a:theme xmlns:a="http://schemas.openxmlformats.org/drawingml/2006/main" name="Office Theme">
  <a:themeElements>
    <a:clrScheme name="Custom 1F4E79">
      <a:dk1>
        <a:srgbClr val="1A1A1A"/>
      </a:dk1>
      <a:lt1>
        <a:srgbClr val="FFFFFF"/>
      </a:lt1>
      <a:dk2>
        <a:srgbClr val="1F4E79"/>
      </a:dk2>
      <a:lt2>
        <a:srgbClr val="EEECE1"/>
      </a:lt2>
      <a:accent1>
        <a:srgbClr val="1F4E79"/>
      </a:accent1>
      <a:accent2>
        <a:srgbClr val="595959"/>
      </a:accent2>
      <a:accent3>
        <a:srgbClr val="1F4E79"/>
      </a:accent3>
      <a:accent4>
        <a:srgbClr val="1F4E79"/>
      </a:accent4>
      <a:accent5>
        <a:srgbClr val="1F4E79"/>
      </a:accent5>
      <a:accent6>
        <a:srgbClr val="1F4E79"/>
      </a:accent6>
      <a:hlink>
        <a:srgbClr val="1F4E79"/>
      </a:hlink>
      <a:folHlink>
        <a:srgbClr val="59595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Diego Yang (Manpower Services Taiwan Co Ltd)</lastModifiedBy>
  <revision>8</revision>
  <dcterms:created xsi:type="dcterms:W3CDTF">2026-09-23T08:04:00.0000000Z</dcterms:created>
  <dcterms:modified xsi:type="dcterms:W3CDTF">2026-09-23T08:58:50.6375975Z</dcterms:modified>
  <category/>
</coreProperties>
</file>