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448BC3"/>
    <w:p w14:paraId="7BE7256C"/>
    <w:p w14:paraId="05BB7E3B"/>
    <w:p w14:paraId="3C505A57">
      <w:pPr>
        <w:jc w:val="center"/>
      </w:pPr>
      <w:r>
        <w:rPr>
          <w:rFonts w:ascii="黑体" w:hAnsi="黑体" w:eastAsia="黑体"/>
          <w:b/>
          <w:sz w:val="52"/>
        </w:rPr>
        <w:t>中国人民银行重庆市分行</w:t>
      </w:r>
    </w:p>
    <w:p w14:paraId="6742920F">
      <w:pPr>
        <w:jc w:val="center"/>
      </w:pPr>
      <w:r>
        <w:rPr>
          <w:rFonts w:ascii="黑体" w:hAnsi="黑体" w:eastAsia="黑体"/>
          <w:b/>
          <w:sz w:val="52"/>
        </w:rPr>
        <w:t>国库大数据可视化平台</w:t>
      </w:r>
    </w:p>
    <w:p w14:paraId="4ABD42E0">
      <w:pPr>
        <w:spacing w:before="240" w:after="480" w:line="324" w:lineRule="auto"/>
        <w:ind w:firstLine="0"/>
        <w:jc w:val="center"/>
        <w:rPr>
          <w:rFonts w:ascii="黑体" w:hAnsi="黑体" w:eastAsia="黑体"/>
          <w:b/>
          <w:color w:val="1565C0"/>
          <w:sz w:val="44"/>
        </w:rPr>
      </w:pPr>
      <w:r>
        <w:rPr>
          <w:rFonts w:ascii="黑体" w:hAnsi="黑体" w:eastAsia="黑体"/>
          <w:b/>
          <w:color w:val="1565C0"/>
          <w:sz w:val="44"/>
        </w:rPr>
        <w:t>用户操作手册</w:t>
      </w:r>
    </w:p>
    <w:p w14:paraId="63152FDD"/>
    <w:p w14:paraId="71969DE3"/>
    <w:p w14:paraId="01FDD88E"/>
    <w:p w14:paraId="0420300C">
      <w:pPr>
        <w:jc w:val="center"/>
      </w:pPr>
      <w:r>
        <w:rPr>
          <w:rFonts w:ascii="宋体" w:hAnsi="宋体" w:eastAsia="宋体"/>
          <w:b w:val="0"/>
          <w:sz w:val="24"/>
        </w:rPr>
        <w:t>版本：V1.0</w:t>
      </w:r>
    </w:p>
    <w:p w14:paraId="6F9D9AB9"/>
    <w:p w14:paraId="7571C205"/>
    <w:p w14:paraId="1CBE6B92"/>
    <w:p w14:paraId="73D5DD63"/>
    <w:p w14:paraId="3054477D"/>
    <w:p w14:paraId="14BBA77E"/>
    <w:p w14:paraId="054B226A"/>
    <w:p w14:paraId="21C1F4B6"/>
    <w:p w14:paraId="6CDB2A0D">
      <w:pPr>
        <w:jc w:val="center"/>
      </w:pPr>
      <w:r>
        <w:rPr>
          <w:rFonts w:ascii="宋体" w:hAnsi="宋体" w:eastAsia="宋体"/>
          <w:b w:val="0"/>
          <w:sz w:val="24"/>
        </w:rPr>
        <w:t>2026年8月17日</w:t>
      </w:r>
    </w:p>
    <w:p w14:paraId="6C56788D">
      <w:r>
        <w:br w:type="page"/>
      </w:r>
    </w:p>
    <w:p w14:paraId="59F7DB1C">
      <w:pPr>
        <w:pStyle w:val="4"/>
      </w:pPr>
      <w:bookmarkStart w:id="0" w:name="_Toc182271504"/>
      <w:r>
        <w:rPr>
          <w:rFonts w:ascii="黑体" w:hAnsi="黑体" w:eastAsia="黑体"/>
          <w:b/>
          <w:sz w:val="32"/>
        </w:rPr>
        <w:t>修订记录</w:t>
      </w:r>
      <w:bookmarkEnd w:id="0"/>
    </w:p>
    <w:p w14:paraId="2CD94161"/>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1814"/>
        <w:gridCol w:w="1814"/>
        <w:gridCol w:w="1814"/>
        <w:gridCol w:w="1814"/>
      </w:tblGrid>
      <w:tr w14:paraId="6806F2DC">
        <w:tc>
          <w:tcPr>
            <w:tcW w:w="1814" w:type="dxa"/>
          </w:tcPr>
          <w:p w14:paraId="0A0E0E03">
            <w:pPr>
              <w:jc w:val="center"/>
            </w:pPr>
            <w:r>
              <w:rPr>
                <w:rFonts w:ascii="宋体" w:hAnsi="宋体" w:eastAsia="宋体"/>
                <w:b/>
                <w:sz w:val="21"/>
              </w:rPr>
              <w:t>序号</w:t>
            </w:r>
          </w:p>
        </w:tc>
        <w:tc>
          <w:tcPr>
            <w:tcW w:w="1814" w:type="dxa"/>
          </w:tcPr>
          <w:p w14:paraId="480EA660">
            <w:pPr>
              <w:jc w:val="center"/>
            </w:pPr>
            <w:r>
              <w:rPr>
                <w:rFonts w:ascii="宋体" w:hAnsi="宋体" w:eastAsia="宋体"/>
                <w:b/>
                <w:sz w:val="21"/>
              </w:rPr>
              <w:t>版本</w:t>
            </w:r>
          </w:p>
        </w:tc>
        <w:tc>
          <w:tcPr>
            <w:tcW w:w="1814" w:type="dxa"/>
          </w:tcPr>
          <w:p w14:paraId="526BECFC">
            <w:pPr>
              <w:jc w:val="center"/>
            </w:pPr>
            <w:r>
              <w:rPr>
                <w:rFonts w:ascii="宋体" w:hAnsi="宋体" w:eastAsia="宋体"/>
                <w:b/>
                <w:sz w:val="21"/>
              </w:rPr>
              <w:t>版本内容</w:t>
            </w:r>
          </w:p>
        </w:tc>
        <w:tc>
          <w:tcPr>
            <w:tcW w:w="1814" w:type="dxa"/>
          </w:tcPr>
          <w:p w14:paraId="4F19D91F">
            <w:pPr>
              <w:jc w:val="center"/>
            </w:pPr>
            <w:r>
              <w:rPr>
                <w:rFonts w:ascii="宋体" w:hAnsi="宋体" w:eastAsia="宋体"/>
                <w:b/>
                <w:sz w:val="21"/>
              </w:rPr>
              <w:t>修订人</w:t>
            </w:r>
          </w:p>
        </w:tc>
        <w:tc>
          <w:tcPr>
            <w:tcW w:w="1814" w:type="dxa"/>
          </w:tcPr>
          <w:p w14:paraId="2CA42B20">
            <w:pPr>
              <w:jc w:val="center"/>
            </w:pPr>
            <w:r>
              <w:rPr>
                <w:rFonts w:ascii="宋体" w:hAnsi="宋体" w:eastAsia="宋体"/>
                <w:b/>
                <w:sz w:val="21"/>
              </w:rPr>
              <w:t>修订时间</w:t>
            </w:r>
          </w:p>
        </w:tc>
      </w:tr>
      <w:tr w14:paraId="4CA1C3A1">
        <w:tc>
          <w:tcPr>
            <w:tcW w:w="1814" w:type="dxa"/>
          </w:tcPr>
          <w:p w14:paraId="330197CE">
            <w:pPr>
              <w:jc w:val="center"/>
            </w:pPr>
            <w:r>
              <w:rPr>
                <w:rFonts w:ascii="宋体" w:hAnsi="宋体" w:eastAsia="宋体"/>
                <w:sz w:val="21"/>
              </w:rPr>
              <w:t>1</w:t>
            </w:r>
          </w:p>
        </w:tc>
        <w:tc>
          <w:tcPr>
            <w:tcW w:w="1814" w:type="dxa"/>
          </w:tcPr>
          <w:p w14:paraId="27A28BCC">
            <w:pPr>
              <w:jc w:val="center"/>
            </w:pPr>
            <w:r>
              <w:rPr>
                <w:rFonts w:ascii="宋体" w:hAnsi="宋体" w:eastAsia="宋体"/>
                <w:sz w:val="21"/>
              </w:rPr>
              <w:t>V1.0</w:t>
            </w:r>
          </w:p>
        </w:tc>
        <w:tc>
          <w:tcPr>
            <w:tcW w:w="1814" w:type="dxa"/>
          </w:tcPr>
          <w:p w14:paraId="53DC6713">
            <w:r>
              <w:rPr>
                <w:rFonts w:ascii="宋体" w:hAnsi="宋体" w:eastAsia="宋体"/>
                <w:sz w:val="21"/>
              </w:rPr>
              <w:t>合并《国库大数据可视化平台》《国库大数据平台三期》两本操作手册；按信创改造后统一系统补充门户登录、权限上收、数据上报、动态刷数、Vastbase 适配及指标/可视化优化等内容，变更处统一标注【变更】。</w:t>
            </w:r>
          </w:p>
        </w:tc>
        <w:tc>
          <w:tcPr>
            <w:tcW w:w="1814" w:type="dxa"/>
          </w:tcPr>
          <w:p w14:paraId="3DF959F3">
            <w:r>
              <w:rPr>
                <w:rFonts w:ascii="宋体" w:hAnsi="宋体" w:eastAsia="宋体"/>
                <w:sz w:val="21"/>
              </w:rPr>
              <w:t>系统项目组</w:t>
            </w:r>
          </w:p>
        </w:tc>
        <w:tc>
          <w:tcPr>
            <w:tcW w:w="1814" w:type="dxa"/>
          </w:tcPr>
          <w:p w14:paraId="1D552CD9">
            <w:pPr>
              <w:jc w:val="center"/>
            </w:pPr>
            <w:r>
              <w:rPr>
                <w:rFonts w:ascii="宋体" w:hAnsi="宋体" w:eastAsia="宋体"/>
                <w:sz w:val="21"/>
              </w:rPr>
              <w:t>2026年8月17日</w:t>
            </w:r>
          </w:p>
        </w:tc>
      </w:tr>
    </w:tbl>
    <w:p w14:paraId="5E2184BE">
      <w:r>
        <w:br w:type="page"/>
      </w:r>
    </w:p>
    <w:p w14:paraId="6CE80D82">
      <w:pPr>
        <w:pStyle w:val="4"/>
      </w:pPr>
      <w:bookmarkStart w:id="1" w:name="_Toc1125487106"/>
      <w:r>
        <w:rPr>
          <w:rFonts w:ascii="黑体" w:hAnsi="黑体" w:eastAsia="黑体"/>
          <w:b/>
          <w:sz w:val="32"/>
        </w:rPr>
        <w:t>目录</w:t>
      </w:r>
      <w:bookmarkEnd w:id="1"/>
    </w:p>
    <w:sdt>
      <w:sdtPr>
        <w:rPr>
          <w:rFonts w:ascii="宋体" w:hAnsi="宋体" w:eastAsia="宋体" w:cstheme="minorBidi"/>
          <w:color w:val="212529"/>
          <w:sz w:val="21"/>
          <w:szCs w:val="22"/>
          <w:lang w:val="en-US" w:eastAsia="en-US" w:bidi="ar-SA"/>
        </w:rPr>
        <w:id w:val="88807657"/>
        <w15:color w:val="DBDBDB"/>
        <w:docPartObj>
          <w:docPartGallery w:val="Table of Contents"/>
          <w:docPartUnique/>
        </w:docPartObj>
      </w:sdtPr>
      <w:sdtContent>
        <w:p w14:paraId="2E94A6F4">
          <w:pPr>
            <w:spacing w:before="0" w:beforeLines="0" w:after="0" w:afterLines="0" w:line="240" w:lineRule="auto"/>
            <w:ind w:left="0" w:leftChars="0" w:right="0" w:rightChars="0" w:firstLine="0" w:firstLineChars="0"/>
            <w:jc w:val="center"/>
          </w:pPr>
          <w:r>
            <w:rPr>
              <w:rFonts w:ascii="宋体" w:hAnsi="宋体" w:eastAsia="宋体"/>
              <w:sz w:val="21"/>
            </w:rPr>
            <w:t>目录</w:t>
          </w:r>
        </w:p>
        <w:p w14:paraId="14F265C5">
          <w:pPr>
            <w:pStyle w:val="27"/>
            <w:tabs>
              <w:tab w:val="right" w:leader="dot" w:pos="9072"/>
            </w:tabs>
          </w:pPr>
          <w:bookmarkStart w:id="63" w:name="_GoBack"/>
          <w:bookmarkEnd w:id="63"/>
          <w:r>
            <w:fldChar w:fldCharType="begin"/>
          </w:r>
          <w:r>
            <w:instrText xml:space="preserve">TOC \o "1-3" \h \u </w:instrText>
          </w:r>
          <w:r>
            <w:fldChar w:fldCharType="separate"/>
          </w:r>
          <w:r>
            <w:fldChar w:fldCharType="begin"/>
          </w:r>
          <w:r>
            <w:instrText xml:space="preserve"> HYPERLINK \l _Toc182271504 </w:instrText>
          </w:r>
          <w:r>
            <w:fldChar w:fldCharType="separate"/>
          </w:r>
          <w:r>
            <w:rPr>
              <w:rFonts w:ascii="黑体" w:hAnsi="黑体" w:eastAsia="黑体"/>
            </w:rPr>
            <w:t>修订记录</w:t>
          </w:r>
          <w:r>
            <w:tab/>
          </w:r>
          <w:r>
            <w:fldChar w:fldCharType="begin"/>
          </w:r>
          <w:r>
            <w:instrText xml:space="preserve"> PAGEREF _Toc182271504 \h </w:instrText>
          </w:r>
          <w:r>
            <w:fldChar w:fldCharType="separate"/>
          </w:r>
          <w:r>
            <w:t>2</w:t>
          </w:r>
          <w:r>
            <w:fldChar w:fldCharType="end"/>
          </w:r>
          <w:r>
            <w:fldChar w:fldCharType="end"/>
          </w:r>
        </w:p>
        <w:p w14:paraId="3BA6C8CD">
          <w:pPr>
            <w:pStyle w:val="27"/>
            <w:tabs>
              <w:tab w:val="right" w:leader="dot" w:pos="9072"/>
            </w:tabs>
          </w:pPr>
          <w:r>
            <w:fldChar w:fldCharType="begin"/>
          </w:r>
          <w:r>
            <w:instrText xml:space="preserve"> HYPERLINK \l _Toc1125487106 </w:instrText>
          </w:r>
          <w:r>
            <w:fldChar w:fldCharType="separate"/>
          </w:r>
          <w:r>
            <w:rPr>
              <w:rFonts w:ascii="黑体" w:hAnsi="黑体" w:eastAsia="黑体"/>
            </w:rPr>
            <w:t>目录</w:t>
          </w:r>
          <w:r>
            <w:tab/>
          </w:r>
          <w:r>
            <w:fldChar w:fldCharType="begin"/>
          </w:r>
          <w:r>
            <w:instrText xml:space="preserve"> PAGEREF _Toc1125487106 \h </w:instrText>
          </w:r>
          <w:r>
            <w:fldChar w:fldCharType="separate"/>
          </w:r>
          <w:r>
            <w:t>3</w:t>
          </w:r>
          <w:r>
            <w:fldChar w:fldCharType="end"/>
          </w:r>
          <w:r>
            <w:fldChar w:fldCharType="end"/>
          </w:r>
        </w:p>
        <w:p w14:paraId="4222C507">
          <w:pPr>
            <w:pStyle w:val="27"/>
            <w:tabs>
              <w:tab w:val="right" w:leader="dot" w:pos="9072"/>
            </w:tabs>
          </w:pPr>
          <w:r>
            <w:fldChar w:fldCharType="begin"/>
          </w:r>
          <w:r>
            <w:instrText xml:space="preserve"> HYPERLINK \l _Toc1025827766 </w:instrText>
          </w:r>
          <w:r>
            <w:fldChar w:fldCharType="separate"/>
          </w:r>
          <w:r>
            <w:rPr>
              <w:rFonts w:hint="eastAsia"/>
            </w:rPr>
            <w:t xml:space="preserve">1 </w:t>
          </w:r>
          <w:r>
            <w:rPr>
              <w:rFonts w:ascii="黑体" w:hAnsi="黑体" w:eastAsia="黑体"/>
            </w:rPr>
            <w:t>概述</w:t>
          </w:r>
          <w:r>
            <w:tab/>
          </w:r>
          <w:r>
            <w:fldChar w:fldCharType="begin"/>
          </w:r>
          <w:r>
            <w:instrText xml:space="preserve"> PAGEREF _Toc1025827766 \h </w:instrText>
          </w:r>
          <w:r>
            <w:fldChar w:fldCharType="separate"/>
          </w:r>
          <w:r>
            <w:t>6</w:t>
          </w:r>
          <w:r>
            <w:fldChar w:fldCharType="end"/>
          </w:r>
          <w:r>
            <w:fldChar w:fldCharType="end"/>
          </w:r>
        </w:p>
        <w:p w14:paraId="6F43AA28">
          <w:pPr>
            <w:pStyle w:val="30"/>
            <w:tabs>
              <w:tab w:val="right" w:leader="dot" w:pos="9072"/>
            </w:tabs>
          </w:pPr>
          <w:r>
            <w:fldChar w:fldCharType="begin"/>
          </w:r>
          <w:r>
            <w:instrText xml:space="preserve"> HYPERLINK \l _Toc1088545046 </w:instrText>
          </w:r>
          <w:r>
            <w:fldChar w:fldCharType="separate"/>
          </w:r>
          <w:r>
            <w:t xml:space="preserve">1.1 </w:t>
          </w:r>
          <w:r>
            <w:rPr>
              <w:rFonts w:ascii="黑体" w:hAnsi="黑体" w:eastAsia="黑体"/>
            </w:rPr>
            <w:t>编写目的</w:t>
          </w:r>
          <w:r>
            <w:tab/>
          </w:r>
          <w:r>
            <w:fldChar w:fldCharType="begin"/>
          </w:r>
          <w:r>
            <w:instrText xml:space="preserve"> PAGEREF _Toc1088545046 \h </w:instrText>
          </w:r>
          <w:r>
            <w:fldChar w:fldCharType="separate"/>
          </w:r>
          <w:r>
            <w:t>6</w:t>
          </w:r>
          <w:r>
            <w:fldChar w:fldCharType="end"/>
          </w:r>
          <w:r>
            <w:fldChar w:fldCharType="end"/>
          </w:r>
        </w:p>
        <w:p w14:paraId="289A537D">
          <w:pPr>
            <w:pStyle w:val="30"/>
            <w:tabs>
              <w:tab w:val="right" w:leader="dot" w:pos="9072"/>
            </w:tabs>
          </w:pPr>
          <w:r>
            <w:fldChar w:fldCharType="begin"/>
          </w:r>
          <w:r>
            <w:instrText xml:space="preserve"> HYPERLINK \l _Toc763399329 </w:instrText>
          </w:r>
          <w:r>
            <w:fldChar w:fldCharType="separate"/>
          </w:r>
          <w:r>
            <w:t xml:space="preserve">1.2 </w:t>
          </w:r>
          <w:r>
            <w:rPr>
              <w:rFonts w:ascii="黑体" w:hAnsi="黑体" w:eastAsia="黑体"/>
            </w:rPr>
            <w:t>系统整合说明</w:t>
          </w:r>
          <w:r>
            <w:tab/>
          </w:r>
          <w:r>
            <w:fldChar w:fldCharType="begin"/>
          </w:r>
          <w:r>
            <w:instrText xml:space="preserve"> PAGEREF _Toc763399329 \h </w:instrText>
          </w:r>
          <w:r>
            <w:fldChar w:fldCharType="separate"/>
          </w:r>
          <w:r>
            <w:t>6</w:t>
          </w:r>
          <w:r>
            <w:fldChar w:fldCharType="end"/>
          </w:r>
          <w:r>
            <w:fldChar w:fldCharType="end"/>
          </w:r>
        </w:p>
        <w:p w14:paraId="22904949">
          <w:pPr>
            <w:pStyle w:val="30"/>
            <w:tabs>
              <w:tab w:val="right" w:leader="dot" w:pos="9072"/>
            </w:tabs>
          </w:pPr>
          <w:r>
            <w:fldChar w:fldCharType="begin"/>
          </w:r>
          <w:r>
            <w:instrText xml:space="preserve"> HYPERLINK \l _Toc1385215325 </w:instrText>
          </w:r>
          <w:r>
            <w:fldChar w:fldCharType="separate"/>
          </w:r>
          <w:r>
            <w:t xml:space="preserve">1.3 </w:t>
          </w:r>
          <w:r>
            <w:rPr>
              <w:rFonts w:ascii="黑体" w:hAnsi="黑体" w:eastAsia="黑体"/>
            </w:rPr>
            <w:t>读者与约定</w:t>
          </w:r>
          <w:r>
            <w:tab/>
          </w:r>
          <w:r>
            <w:fldChar w:fldCharType="begin"/>
          </w:r>
          <w:r>
            <w:instrText xml:space="preserve"> PAGEREF _Toc1385215325 \h </w:instrText>
          </w:r>
          <w:r>
            <w:fldChar w:fldCharType="separate"/>
          </w:r>
          <w:r>
            <w:t>6</w:t>
          </w:r>
          <w:r>
            <w:fldChar w:fldCharType="end"/>
          </w:r>
          <w:r>
            <w:fldChar w:fldCharType="end"/>
          </w:r>
        </w:p>
        <w:p w14:paraId="02F9FA27">
          <w:pPr>
            <w:pStyle w:val="30"/>
            <w:tabs>
              <w:tab w:val="right" w:leader="dot" w:pos="9072"/>
            </w:tabs>
          </w:pPr>
          <w:r>
            <w:fldChar w:fldCharType="begin"/>
          </w:r>
          <w:r>
            <w:instrText xml:space="preserve"> HYPERLINK \l _Toc443750148 </w:instrText>
          </w:r>
          <w:r>
            <w:fldChar w:fldCharType="separate"/>
          </w:r>
          <w:r>
            <w:t xml:space="preserve">1.4 </w:t>
          </w:r>
          <w:r>
            <w:rPr>
              <w:rFonts w:ascii="黑体" w:hAnsi="黑体" w:eastAsia="黑体"/>
            </w:rPr>
            <w:t>术语</w:t>
          </w:r>
          <w:r>
            <w:tab/>
          </w:r>
          <w:r>
            <w:fldChar w:fldCharType="begin"/>
          </w:r>
          <w:r>
            <w:instrText xml:space="preserve"> PAGEREF _Toc443750148 \h </w:instrText>
          </w:r>
          <w:r>
            <w:fldChar w:fldCharType="separate"/>
          </w:r>
          <w:r>
            <w:t>7</w:t>
          </w:r>
          <w:r>
            <w:fldChar w:fldCharType="end"/>
          </w:r>
          <w:r>
            <w:fldChar w:fldCharType="end"/>
          </w:r>
        </w:p>
        <w:p w14:paraId="11F2DD40">
          <w:pPr>
            <w:pStyle w:val="27"/>
            <w:tabs>
              <w:tab w:val="right" w:leader="dot" w:pos="9072"/>
            </w:tabs>
          </w:pPr>
          <w:r>
            <w:fldChar w:fldCharType="begin"/>
          </w:r>
          <w:r>
            <w:instrText xml:space="preserve"> HYPERLINK \l _Toc2045515052 </w:instrText>
          </w:r>
          <w:r>
            <w:fldChar w:fldCharType="separate"/>
          </w:r>
          <w:r>
            <w:rPr>
              <w:rFonts w:hint="eastAsia"/>
            </w:rPr>
            <w:t xml:space="preserve">2 </w:t>
          </w:r>
          <w:r>
            <w:rPr>
              <w:rFonts w:ascii="黑体" w:hAnsi="黑体" w:eastAsia="黑体"/>
            </w:rPr>
            <w:t>登录与权限</w:t>
          </w:r>
          <w:r>
            <w:tab/>
          </w:r>
          <w:r>
            <w:fldChar w:fldCharType="begin"/>
          </w:r>
          <w:r>
            <w:instrText xml:space="preserve"> PAGEREF _Toc2045515052 \h </w:instrText>
          </w:r>
          <w:r>
            <w:fldChar w:fldCharType="separate"/>
          </w:r>
          <w:r>
            <w:t>7</w:t>
          </w:r>
          <w:r>
            <w:fldChar w:fldCharType="end"/>
          </w:r>
          <w:r>
            <w:fldChar w:fldCharType="end"/>
          </w:r>
        </w:p>
        <w:p w14:paraId="30768854">
          <w:pPr>
            <w:pStyle w:val="30"/>
            <w:tabs>
              <w:tab w:val="right" w:leader="dot" w:pos="9072"/>
            </w:tabs>
          </w:pPr>
          <w:r>
            <w:fldChar w:fldCharType="begin"/>
          </w:r>
          <w:r>
            <w:instrText xml:space="preserve"> HYPERLINK \l _Toc2053257788 </w:instrText>
          </w:r>
          <w:r>
            <w:fldChar w:fldCharType="separate"/>
          </w:r>
          <w:r>
            <w:t xml:space="preserve">2.1 </w:t>
          </w:r>
          <w:r>
            <w:rPr>
              <w:rFonts w:ascii="黑体" w:hAnsi="黑体" w:eastAsia="黑体"/>
            </w:rPr>
            <w:t>访问方式总览</w:t>
          </w:r>
          <w:r>
            <w:tab/>
          </w:r>
          <w:r>
            <w:fldChar w:fldCharType="begin"/>
          </w:r>
          <w:r>
            <w:instrText xml:space="preserve"> PAGEREF _Toc2053257788 \h </w:instrText>
          </w:r>
          <w:r>
            <w:fldChar w:fldCharType="separate"/>
          </w:r>
          <w:r>
            <w:t>7</w:t>
          </w:r>
          <w:r>
            <w:fldChar w:fldCharType="end"/>
          </w:r>
          <w:r>
            <w:fldChar w:fldCharType="end"/>
          </w:r>
        </w:p>
        <w:p w14:paraId="193AC5F3">
          <w:pPr>
            <w:pStyle w:val="30"/>
            <w:tabs>
              <w:tab w:val="right" w:leader="dot" w:pos="9072"/>
            </w:tabs>
          </w:pPr>
          <w:r>
            <w:fldChar w:fldCharType="begin"/>
          </w:r>
          <w:r>
            <w:instrText xml:space="preserve"> HYPERLINK \l _Toc1188919273 </w:instrText>
          </w:r>
          <w:r>
            <w:fldChar w:fldCharType="separate"/>
          </w:r>
          <w:r>
            <w:t xml:space="preserve">2.2 </w:t>
          </w:r>
          <w:r>
            <w:rPr>
              <w:rFonts w:ascii="黑体" w:hAnsi="黑体" w:eastAsia="黑体"/>
            </w:rPr>
            <w:t>门户登录（推荐）</w:t>
          </w:r>
          <w:r>
            <w:tab/>
          </w:r>
          <w:r>
            <w:fldChar w:fldCharType="begin"/>
          </w:r>
          <w:r>
            <w:instrText xml:space="preserve"> PAGEREF _Toc1188919273 \h </w:instrText>
          </w:r>
          <w:r>
            <w:fldChar w:fldCharType="separate"/>
          </w:r>
          <w:r>
            <w:t>8</w:t>
          </w:r>
          <w:r>
            <w:fldChar w:fldCharType="end"/>
          </w:r>
          <w:r>
            <w:fldChar w:fldCharType="end"/>
          </w:r>
        </w:p>
        <w:p w14:paraId="27C7A7F9">
          <w:pPr>
            <w:pStyle w:val="24"/>
            <w:tabs>
              <w:tab w:val="right" w:leader="dot" w:pos="9072"/>
            </w:tabs>
          </w:pPr>
          <w:r>
            <w:fldChar w:fldCharType="begin"/>
          </w:r>
          <w:r>
            <w:instrText xml:space="preserve"> HYPERLINK \l _Toc1978369623 </w:instrText>
          </w:r>
          <w:r>
            <w:fldChar w:fldCharType="separate"/>
          </w:r>
          <w:r>
            <w:t xml:space="preserve">2.2.1 </w:t>
          </w:r>
          <w:r>
            <w:rPr>
              <w:rFonts w:ascii="黑体" w:hAnsi="黑体" w:eastAsia="黑体"/>
            </w:rPr>
            <w:t>基本步骤</w:t>
          </w:r>
          <w:r>
            <w:tab/>
          </w:r>
          <w:r>
            <w:fldChar w:fldCharType="begin"/>
          </w:r>
          <w:r>
            <w:instrText xml:space="preserve"> PAGEREF _Toc1978369623 \h </w:instrText>
          </w:r>
          <w:r>
            <w:fldChar w:fldCharType="separate"/>
          </w:r>
          <w:r>
            <w:t>8</w:t>
          </w:r>
          <w:r>
            <w:fldChar w:fldCharType="end"/>
          </w:r>
          <w:r>
            <w:fldChar w:fldCharType="end"/>
          </w:r>
        </w:p>
        <w:p w14:paraId="7BF1DCED">
          <w:pPr>
            <w:pStyle w:val="30"/>
            <w:tabs>
              <w:tab w:val="right" w:leader="dot" w:pos="9072"/>
            </w:tabs>
          </w:pPr>
          <w:r>
            <w:fldChar w:fldCharType="begin"/>
          </w:r>
          <w:r>
            <w:instrText xml:space="preserve"> HYPERLINK \l _Toc968947260 </w:instrText>
          </w:r>
          <w:r>
            <w:fldChar w:fldCharType="separate"/>
          </w:r>
          <w:r>
            <w:t xml:space="preserve">2.3 </w:t>
          </w:r>
          <w:r>
            <w:rPr>
              <w:rFonts w:ascii="黑体" w:hAnsi="黑体" w:eastAsia="黑体"/>
            </w:rPr>
            <w:t>本地登录（过渡/运维）</w:t>
          </w:r>
          <w:r>
            <w:tab/>
          </w:r>
          <w:r>
            <w:fldChar w:fldCharType="begin"/>
          </w:r>
          <w:r>
            <w:instrText xml:space="preserve"> PAGEREF _Toc968947260 \h </w:instrText>
          </w:r>
          <w:r>
            <w:fldChar w:fldCharType="separate"/>
          </w:r>
          <w:r>
            <w:t>8</w:t>
          </w:r>
          <w:r>
            <w:fldChar w:fldCharType="end"/>
          </w:r>
          <w:r>
            <w:fldChar w:fldCharType="end"/>
          </w:r>
        </w:p>
        <w:p w14:paraId="01C89BA1">
          <w:pPr>
            <w:pStyle w:val="30"/>
            <w:tabs>
              <w:tab w:val="right" w:leader="dot" w:pos="9072"/>
            </w:tabs>
          </w:pPr>
          <w:r>
            <w:fldChar w:fldCharType="begin"/>
          </w:r>
          <w:r>
            <w:instrText xml:space="preserve"> HYPERLINK \l _Toc728103619 </w:instrText>
          </w:r>
          <w:r>
            <w:fldChar w:fldCharType="separate"/>
          </w:r>
          <w:r>
            <w:t xml:space="preserve">2.4 </w:t>
          </w:r>
          <w:r>
            <w:rPr>
              <w:rFonts w:ascii="黑体" w:hAnsi="黑体" w:eastAsia="黑体"/>
            </w:rPr>
            <w:t>用户、角色与菜单维护</w:t>
          </w:r>
          <w:r>
            <w:tab/>
          </w:r>
          <w:r>
            <w:fldChar w:fldCharType="begin"/>
          </w:r>
          <w:r>
            <w:instrText xml:space="preserve"> PAGEREF _Toc728103619 \h </w:instrText>
          </w:r>
          <w:r>
            <w:fldChar w:fldCharType="separate"/>
          </w:r>
          <w:r>
            <w:t>9</w:t>
          </w:r>
          <w:r>
            <w:fldChar w:fldCharType="end"/>
          </w:r>
          <w:r>
            <w:fldChar w:fldCharType="end"/>
          </w:r>
        </w:p>
        <w:p w14:paraId="13904D7D">
          <w:pPr>
            <w:pStyle w:val="30"/>
            <w:tabs>
              <w:tab w:val="right" w:leader="dot" w:pos="9072"/>
            </w:tabs>
          </w:pPr>
          <w:r>
            <w:fldChar w:fldCharType="begin"/>
          </w:r>
          <w:r>
            <w:instrText xml:space="preserve"> HYPERLINK \l _Toc875703927 </w:instrText>
          </w:r>
          <w:r>
            <w:fldChar w:fldCharType="separate"/>
          </w:r>
          <w:r>
            <w:t xml:space="preserve">2.5 </w:t>
          </w:r>
          <w:r>
            <w:rPr>
              <w:rFonts w:ascii="黑体" w:hAnsi="黑体" w:eastAsia="黑体"/>
            </w:rPr>
            <w:t>顶栏菜单顺序</w:t>
          </w:r>
          <w:r>
            <w:tab/>
          </w:r>
          <w:r>
            <w:fldChar w:fldCharType="begin"/>
          </w:r>
          <w:r>
            <w:instrText xml:space="preserve"> PAGEREF _Toc875703927 \h </w:instrText>
          </w:r>
          <w:r>
            <w:fldChar w:fldCharType="separate"/>
          </w:r>
          <w:r>
            <w:t>9</w:t>
          </w:r>
          <w:r>
            <w:fldChar w:fldCharType="end"/>
          </w:r>
          <w:r>
            <w:fldChar w:fldCharType="end"/>
          </w:r>
        </w:p>
        <w:p w14:paraId="4F94A457">
          <w:pPr>
            <w:pStyle w:val="30"/>
            <w:tabs>
              <w:tab w:val="right" w:leader="dot" w:pos="9072"/>
            </w:tabs>
          </w:pPr>
          <w:r>
            <w:fldChar w:fldCharType="begin"/>
          </w:r>
          <w:r>
            <w:instrText xml:space="preserve"> HYPERLINK \l _Toc1250468198 </w:instrText>
          </w:r>
          <w:r>
            <w:fldChar w:fldCharType="separate"/>
          </w:r>
          <w:r>
            <w:t xml:space="preserve">2.6 </w:t>
          </w:r>
          <w:r>
            <w:rPr>
              <w:rFonts w:ascii="黑体" w:hAnsi="黑体" w:eastAsia="黑体"/>
            </w:rPr>
            <w:t>数据权限与国库范围</w:t>
          </w:r>
          <w:r>
            <w:tab/>
          </w:r>
          <w:r>
            <w:fldChar w:fldCharType="begin"/>
          </w:r>
          <w:r>
            <w:instrText xml:space="preserve"> PAGEREF _Toc1250468198 \h </w:instrText>
          </w:r>
          <w:r>
            <w:fldChar w:fldCharType="separate"/>
          </w:r>
          <w:r>
            <w:t>9</w:t>
          </w:r>
          <w:r>
            <w:fldChar w:fldCharType="end"/>
          </w:r>
          <w:r>
            <w:fldChar w:fldCharType="end"/>
          </w:r>
        </w:p>
        <w:p w14:paraId="67DEE696">
          <w:pPr>
            <w:pStyle w:val="27"/>
            <w:tabs>
              <w:tab w:val="right" w:leader="dot" w:pos="9072"/>
            </w:tabs>
          </w:pPr>
          <w:r>
            <w:fldChar w:fldCharType="begin"/>
          </w:r>
          <w:r>
            <w:instrText xml:space="preserve"> HYPERLINK \l _Toc1344034244 </w:instrText>
          </w:r>
          <w:r>
            <w:fldChar w:fldCharType="separate"/>
          </w:r>
          <w:r>
            <w:rPr>
              <w:rFonts w:hint="eastAsia"/>
            </w:rPr>
            <w:t xml:space="preserve">3 </w:t>
          </w:r>
          <w:r>
            <w:rPr>
              <w:rFonts w:ascii="黑体" w:hAnsi="黑体" w:eastAsia="黑体"/>
            </w:rPr>
            <w:t>系统功能总览</w:t>
          </w:r>
          <w:r>
            <w:tab/>
          </w:r>
          <w:r>
            <w:fldChar w:fldCharType="begin"/>
          </w:r>
          <w:r>
            <w:instrText xml:space="preserve"> PAGEREF _Toc1344034244 \h </w:instrText>
          </w:r>
          <w:r>
            <w:fldChar w:fldCharType="separate"/>
          </w:r>
          <w:r>
            <w:t>9</w:t>
          </w:r>
          <w:r>
            <w:fldChar w:fldCharType="end"/>
          </w:r>
          <w:r>
            <w:fldChar w:fldCharType="end"/>
          </w:r>
        </w:p>
        <w:p w14:paraId="56444576">
          <w:pPr>
            <w:pStyle w:val="27"/>
            <w:tabs>
              <w:tab w:val="right" w:leader="dot" w:pos="9072"/>
            </w:tabs>
          </w:pPr>
          <w:r>
            <w:fldChar w:fldCharType="begin"/>
          </w:r>
          <w:r>
            <w:instrText xml:space="preserve"> HYPERLINK \l _Toc1950539762 </w:instrText>
          </w:r>
          <w:r>
            <w:fldChar w:fldCharType="separate"/>
          </w:r>
          <w:r>
            <w:rPr>
              <w:rFonts w:hint="eastAsia"/>
            </w:rPr>
            <w:t xml:space="preserve">4 </w:t>
          </w:r>
          <w:r>
            <w:rPr>
              <w:rFonts w:ascii="黑体" w:hAnsi="黑体" w:eastAsia="黑体"/>
            </w:rPr>
            <w:t>大数据可视化</w:t>
          </w:r>
          <w:r>
            <w:tab/>
          </w:r>
          <w:r>
            <w:fldChar w:fldCharType="begin"/>
          </w:r>
          <w:r>
            <w:instrText xml:space="preserve"> PAGEREF _Toc1950539762 \h </w:instrText>
          </w:r>
          <w:r>
            <w:fldChar w:fldCharType="separate"/>
          </w:r>
          <w:r>
            <w:t>10</w:t>
          </w:r>
          <w:r>
            <w:fldChar w:fldCharType="end"/>
          </w:r>
          <w:r>
            <w:fldChar w:fldCharType="end"/>
          </w:r>
        </w:p>
        <w:p w14:paraId="08C99C07">
          <w:pPr>
            <w:pStyle w:val="30"/>
            <w:tabs>
              <w:tab w:val="right" w:leader="dot" w:pos="9072"/>
            </w:tabs>
          </w:pPr>
          <w:r>
            <w:fldChar w:fldCharType="begin"/>
          </w:r>
          <w:r>
            <w:instrText xml:space="preserve"> HYPERLINK \l _Toc1383908479 </w:instrText>
          </w:r>
          <w:r>
            <w:fldChar w:fldCharType="separate"/>
          </w:r>
          <w:r>
            <w:t xml:space="preserve">4.1 </w:t>
          </w:r>
          <w:r>
            <w:rPr>
              <w:rFonts w:ascii="黑体" w:hAnsi="黑体" w:eastAsia="黑体"/>
            </w:rPr>
            <w:t>图库</w:t>
          </w:r>
          <w:r>
            <w:tab/>
          </w:r>
          <w:r>
            <w:fldChar w:fldCharType="begin"/>
          </w:r>
          <w:r>
            <w:instrText xml:space="preserve"> PAGEREF _Toc1383908479 \h </w:instrText>
          </w:r>
          <w:r>
            <w:fldChar w:fldCharType="separate"/>
          </w:r>
          <w:r>
            <w:t>10</w:t>
          </w:r>
          <w:r>
            <w:fldChar w:fldCharType="end"/>
          </w:r>
          <w:r>
            <w:fldChar w:fldCharType="end"/>
          </w:r>
        </w:p>
        <w:p w14:paraId="01331EF5">
          <w:pPr>
            <w:pStyle w:val="30"/>
            <w:tabs>
              <w:tab w:val="right" w:leader="dot" w:pos="9072"/>
            </w:tabs>
          </w:pPr>
          <w:r>
            <w:fldChar w:fldCharType="begin"/>
          </w:r>
          <w:r>
            <w:instrText xml:space="preserve"> HYPERLINK \l _Toc2101909543 </w:instrText>
          </w:r>
          <w:r>
            <w:fldChar w:fldCharType="separate"/>
          </w:r>
          <w:r>
            <w:t xml:space="preserve">4.2 </w:t>
          </w:r>
          <w:r>
            <w:rPr>
              <w:rFonts w:ascii="黑体" w:hAnsi="黑体" w:eastAsia="黑体"/>
            </w:rPr>
            <w:t>模板管理</w:t>
          </w:r>
          <w:r>
            <w:tab/>
          </w:r>
          <w:r>
            <w:fldChar w:fldCharType="begin"/>
          </w:r>
          <w:r>
            <w:instrText xml:space="preserve"> PAGEREF _Toc2101909543 \h </w:instrText>
          </w:r>
          <w:r>
            <w:fldChar w:fldCharType="separate"/>
          </w:r>
          <w:r>
            <w:t>11</w:t>
          </w:r>
          <w:r>
            <w:fldChar w:fldCharType="end"/>
          </w:r>
          <w:r>
            <w:fldChar w:fldCharType="end"/>
          </w:r>
        </w:p>
        <w:p w14:paraId="7DE02822">
          <w:pPr>
            <w:pStyle w:val="30"/>
            <w:tabs>
              <w:tab w:val="right" w:leader="dot" w:pos="9072"/>
            </w:tabs>
          </w:pPr>
          <w:r>
            <w:fldChar w:fldCharType="begin"/>
          </w:r>
          <w:r>
            <w:instrText xml:space="preserve"> HYPERLINK \l _Toc687696051 </w:instrText>
          </w:r>
          <w:r>
            <w:fldChar w:fldCharType="separate"/>
          </w:r>
          <w:r>
            <w:t xml:space="preserve">4.3 </w:t>
          </w:r>
          <w:r>
            <w:rPr>
              <w:rFonts w:ascii="黑体" w:hAnsi="黑体" w:eastAsia="黑体"/>
            </w:rPr>
            <w:t>页面管理</w:t>
          </w:r>
          <w:r>
            <w:tab/>
          </w:r>
          <w:r>
            <w:fldChar w:fldCharType="begin"/>
          </w:r>
          <w:r>
            <w:instrText xml:space="preserve"> PAGEREF _Toc687696051 \h </w:instrText>
          </w:r>
          <w:r>
            <w:fldChar w:fldCharType="separate"/>
          </w:r>
          <w:r>
            <w:t>12</w:t>
          </w:r>
          <w:r>
            <w:fldChar w:fldCharType="end"/>
          </w:r>
          <w:r>
            <w:fldChar w:fldCharType="end"/>
          </w:r>
        </w:p>
        <w:p w14:paraId="3360E6AD">
          <w:pPr>
            <w:pStyle w:val="24"/>
            <w:tabs>
              <w:tab w:val="right" w:leader="dot" w:pos="9072"/>
            </w:tabs>
          </w:pPr>
          <w:r>
            <w:fldChar w:fldCharType="begin"/>
          </w:r>
          <w:r>
            <w:instrText xml:space="preserve"> HYPERLINK \l _Toc350541003 </w:instrText>
          </w:r>
          <w:r>
            <w:fldChar w:fldCharType="separate"/>
          </w:r>
          <w:r>
            <w:t xml:space="preserve">4.3.1 </w:t>
          </w:r>
          <w:r>
            <w:rPr>
              <w:rFonts w:ascii="黑体" w:hAnsi="黑体" w:eastAsia="黑体"/>
            </w:rPr>
            <w:t>截图</w:t>
          </w:r>
          <w:r>
            <w:tab/>
          </w:r>
          <w:r>
            <w:fldChar w:fldCharType="begin"/>
          </w:r>
          <w:r>
            <w:instrText xml:space="preserve"> PAGEREF _Toc350541003 \h </w:instrText>
          </w:r>
          <w:r>
            <w:fldChar w:fldCharType="separate"/>
          </w:r>
          <w:r>
            <w:t>13</w:t>
          </w:r>
          <w:r>
            <w:fldChar w:fldCharType="end"/>
          </w:r>
          <w:r>
            <w:fldChar w:fldCharType="end"/>
          </w:r>
        </w:p>
        <w:p w14:paraId="14C64DA0">
          <w:pPr>
            <w:pStyle w:val="30"/>
            <w:tabs>
              <w:tab w:val="right" w:leader="dot" w:pos="9072"/>
            </w:tabs>
          </w:pPr>
          <w:r>
            <w:fldChar w:fldCharType="begin"/>
          </w:r>
          <w:r>
            <w:instrText xml:space="preserve"> HYPERLINK \l _Toc994993700 </w:instrText>
          </w:r>
          <w:r>
            <w:fldChar w:fldCharType="separate"/>
          </w:r>
          <w:r>
            <w:t xml:space="preserve">4.4 </w:t>
          </w:r>
          <w:r>
            <w:rPr>
              <w:rFonts w:ascii="黑体" w:hAnsi="黑体" w:eastAsia="黑体"/>
            </w:rPr>
            <w:t>展示方案管理</w:t>
          </w:r>
          <w:r>
            <w:tab/>
          </w:r>
          <w:r>
            <w:fldChar w:fldCharType="begin"/>
          </w:r>
          <w:r>
            <w:instrText xml:space="preserve"> PAGEREF _Toc994993700 \h </w:instrText>
          </w:r>
          <w:r>
            <w:fldChar w:fldCharType="separate"/>
          </w:r>
          <w:r>
            <w:t>13</w:t>
          </w:r>
          <w:r>
            <w:fldChar w:fldCharType="end"/>
          </w:r>
          <w:r>
            <w:fldChar w:fldCharType="end"/>
          </w:r>
        </w:p>
        <w:p w14:paraId="362F1D96">
          <w:pPr>
            <w:pStyle w:val="24"/>
            <w:tabs>
              <w:tab w:val="right" w:leader="dot" w:pos="9072"/>
            </w:tabs>
          </w:pPr>
          <w:r>
            <w:fldChar w:fldCharType="begin"/>
          </w:r>
          <w:r>
            <w:instrText xml:space="preserve"> HYPERLINK \l _Toc403956711 </w:instrText>
          </w:r>
          <w:r>
            <w:fldChar w:fldCharType="separate"/>
          </w:r>
          <w:r>
            <w:t xml:space="preserve">4.4.1 </w:t>
          </w:r>
          <w:r>
            <w:rPr>
              <w:rFonts w:ascii="黑体" w:hAnsi="黑体" w:eastAsia="黑体"/>
            </w:rPr>
            <w:t>预览</w:t>
          </w:r>
          <w:r>
            <w:tab/>
          </w:r>
          <w:r>
            <w:fldChar w:fldCharType="begin"/>
          </w:r>
          <w:r>
            <w:instrText xml:space="preserve"> PAGEREF _Toc403956711 \h </w:instrText>
          </w:r>
          <w:r>
            <w:fldChar w:fldCharType="separate"/>
          </w:r>
          <w:r>
            <w:t>14</w:t>
          </w:r>
          <w:r>
            <w:fldChar w:fldCharType="end"/>
          </w:r>
          <w:r>
            <w:fldChar w:fldCharType="end"/>
          </w:r>
        </w:p>
        <w:p w14:paraId="31C21127">
          <w:pPr>
            <w:pStyle w:val="30"/>
            <w:tabs>
              <w:tab w:val="right" w:leader="dot" w:pos="9072"/>
            </w:tabs>
          </w:pPr>
          <w:r>
            <w:fldChar w:fldCharType="begin"/>
          </w:r>
          <w:r>
            <w:instrText xml:space="preserve"> HYPERLINK \l _Toc1104633610 </w:instrText>
          </w:r>
          <w:r>
            <w:fldChar w:fldCharType="separate"/>
          </w:r>
          <w:r>
            <w:t xml:space="preserve">4.5 </w:t>
          </w:r>
          <w:r>
            <w:rPr>
              <w:rFonts w:ascii="黑体" w:hAnsi="黑体" w:eastAsia="黑体"/>
            </w:rPr>
            <w:t>方案推送</w:t>
          </w:r>
          <w:r>
            <w:tab/>
          </w:r>
          <w:r>
            <w:fldChar w:fldCharType="begin"/>
          </w:r>
          <w:r>
            <w:instrText xml:space="preserve"> PAGEREF _Toc1104633610 \h </w:instrText>
          </w:r>
          <w:r>
            <w:fldChar w:fldCharType="separate"/>
          </w:r>
          <w:r>
            <w:t>15</w:t>
          </w:r>
          <w:r>
            <w:fldChar w:fldCharType="end"/>
          </w:r>
          <w:r>
            <w:fldChar w:fldCharType="end"/>
          </w:r>
        </w:p>
        <w:p w14:paraId="3905F928">
          <w:pPr>
            <w:pStyle w:val="30"/>
            <w:tabs>
              <w:tab w:val="right" w:leader="dot" w:pos="9072"/>
            </w:tabs>
          </w:pPr>
          <w:r>
            <w:fldChar w:fldCharType="begin"/>
          </w:r>
          <w:r>
            <w:instrText xml:space="preserve"> HYPERLINK \l _Toc580954955 </w:instrText>
          </w:r>
          <w:r>
            <w:fldChar w:fldCharType="separate"/>
          </w:r>
          <w:r>
            <w:t xml:space="preserve">4.6 </w:t>
          </w:r>
          <w:r>
            <w:rPr>
              <w:rFonts w:ascii="黑体" w:hAnsi="黑体" w:eastAsia="黑体"/>
            </w:rPr>
            <w:t>指标库方案</w:t>
          </w:r>
          <w:r>
            <w:tab/>
          </w:r>
          <w:r>
            <w:fldChar w:fldCharType="begin"/>
          </w:r>
          <w:r>
            <w:instrText xml:space="preserve"> PAGEREF _Toc580954955 \h </w:instrText>
          </w:r>
          <w:r>
            <w:fldChar w:fldCharType="separate"/>
          </w:r>
          <w:r>
            <w:t>15</w:t>
          </w:r>
          <w:r>
            <w:fldChar w:fldCharType="end"/>
          </w:r>
          <w:r>
            <w:fldChar w:fldCharType="end"/>
          </w:r>
        </w:p>
        <w:p w14:paraId="35B738F0">
          <w:pPr>
            <w:pStyle w:val="24"/>
            <w:tabs>
              <w:tab w:val="right" w:leader="dot" w:pos="9072"/>
            </w:tabs>
          </w:pPr>
          <w:r>
            <w:fldChar w:fldCharType="begin"/>
          </w:r>
          <w:r>
            <w:instrText xml:space="preserve"> HYPERLINK \l _Toc1649269423 </w:instrText>
          </w:r>
          <w:r>
            <w:fldChar w:fldCharType="separate"/>
          </w:r>
          <w:r>
            <w:t xml:space="preserve">4.6.1 </w:t>
          </w:r>
          <w:r>
            <w:rPr>
              <w:rFonts w:ascii="黑体" w:hAnsi="黑体" w:eastAsia="黑体"/>
            </w:rPr>
            <w:t>转图</w:t>
          </w:r>
          <w:r>
            <w:tab/>
          </w:r>
          <w:r>
            <w:fldChar w:fldCharType="begin"/>
          </w:r>
          <w:r>
            <w:instrText xml:space="preserve"> PAGEREF _Toc1649269423 \h </w:instrText>
          </w:r>
          <w:r>
            <w:fldChar w:fldCharType="separate"/>
          </w:r>
          <w:r>
            <w:t>16</w:t>
          </w:r>
          <w:r>
            <w:fldChar w:fldCharType="end"/>
          </w:r>
          <w:r>
            <w:fldChar w:fldCharType="end"/>
          </w:r>
        </w:p>
        <w:p w14:paraId="25C5BA21">
          <w:pPr>
            <w:pStyle w:val="30"/>
            <w:tabs>
              <w:tab w:val="right" w:leader="dot" w:pos="9072"/>
            </w:tabs>
          </w:pPr>
          <w:r>
            <w:fldChar w:fldCharType="begin"/>
          </w:r>
          <w:r>
            <w:instrText xml:space="preserve"> HYPERLINK \l _Toc1699760532 </w:instrText>
          </w:r>
          <w:r>
            <w:fldChar w:fldCharType="separate"/>
          </w:r>
          <w:r>
            <w:t xml:space="preserve">4.7 </w:t>
          </w:r>
          <w:r>
            <w:rPr>
              <w:rFonts w:ascii="黑体" w:hAnsi="黑体" w:eastAsia="黑体"/>
            </w:rPr>
            <w:t>图片</w:t>
          </w:r>
          <w:r>
            <w:tab/>
          </w:r>
          <w:r>
            <w:fldChar w:fldCharType="begin"/>
          </w:r>
          <w:r>
            <w:instrText xml:space="preserve"> PAGEREF _Toc1699760532 \h </w:instrText>
          </w:r>
          <w:r>
            <w:fldChar w:fldCharType="separate"/>
          </w:r>
          <w:r>
            <w:t>21</w:t>
          </w:r>
          <w:r>
            <w:fldChar w:fldCharType="end"/>
          </w:r>
          <w:r>
            <w:fldChar w:fldCharType="end"/>
          </w:r>
        </w:p>
        <w:p w14:paraId="6D3044C5">
          <w:pPr>
            <w:pStyle w:val="30"/>
            <w:tabs>
              <w:tab w:val="right" w:leader="dot" w:pos="9072"/>
            </w:tabs>
          </w:pPr>
          <w:r>
            <w:fldChar w:fldCharType="begin"/>
          </w:r>
          <w:r>
            <w:instrText xml:space="preserve"> HYPERLINK \l _Toc2047788930 </w:instrText>
          </w:r>
          <w:r>
            <w:fldChar w:fldCharType="separate"/>
          </w:r>
          <w:r>
            <w:t xml:space="preserve">4.8 </w:t>
          </w:r>
          <w:r>
            <w:rPr>
              <w:rFonts w:ascii="黑体" w:hAnsi="黑体" w:eastAsia="黑体"/>
            </w:rPr>
            <w:t>视频</w:t>
          </w:r>
          <w:r>
            <w:tab/>
          </w:r>
          <w:r>
            <w:fldChar w:fldCharType="begin"/>
          </w:r>
          <w:r>
            <w:instrText xml:space="preserve"> PAGEREF _Toc2047788930 \h </w:instrText>
          </w:r>
          <w:r>
            <w:fldChar w:fldCharType="separate"/>
          </w:r>
          <w:r>
            <w:t>21</w:t>
          </w:r>
          <w:r>
            <w:fldChar w:fldCharType="end"/>
          </w:r>
          <w:r>
            <w:fldChar w:fldCharType="end"/>
          </w:r>
        </w:p>
        <w:p w14:paraId="77FAEF58">
          <w:pPr>
            <w:pStyle w:val="27"/>
            <w:tabs>
              <w:tab w:val="right" w:leader="dot" w:pos="9072"/>
            </w:tabs>
          </w:pPr>
          <w:r>
            <w:fldChar w:fldCharType="begin"/>
          </w:r>
          <w:r>
            <w:instrText xml:space="preserve"> HYPERLINK \l _Toc1615619688 </w:instrText>
          </w:r>
          <w:r>
            <w:fldChar w:fldCharType="separate"/>
          </w:r>
          <w:r>
            <w:rPr>
              <w:rFonts w:hint="eastAsia"/>
            </w:rPr>
            <w:t xml:space="preserve">5 </w:t>
          </w:r>
          <w:r>
            <w:rPr>
              <w:rFonts w:ascii="黑体" w:hAnsi="黑体" w:eastAsia="黑体"/>
            </w:rPr>
            <w:t>指标分析与智能报告</w:t>
          </w:r>
          <w:r>
            <w:tab/>
          </w:r>
          <w:r>
            <w:fldChar w:fldCharType="begin"/>
          </w:r>
          <w:r>
            <w:instrText xml:space="preserve"> PAGEREF _Toc1615619688 \h </w:instrText>
          </w:r>
          <w:r>
            <w:fldChar w:fldCharType="separate"/>
          </w:r>
          <w:r>
            <w:t>22</w:t>
          </w:r>
          <w:r>
            <w:fldChar w:fldCharType="end"/>
          </w:r>
          <w:r>
            <w:fldChar w:fldCharType="end"/>
          </w:r>
        </w:p>
        <w:p w14:paraId="57AE5FD5">
          <w:pPr>
            <w:pStyle w:val="30"/>
            <w:tabs>
              <w:tab w:val="right" w:leader="dot" w:pos="9072"/>
            </w:tabs>
          </w:pPr>
          <w:r>
            <w:fldChar w:fldCharType="begin"/>
          </w:r>
          <w:r>
            <w:instrText xml:space="preserve"> HYPERLINK \l _Toc936863548 </w:instrText>
          </w:r>
          <w:r>
            <w:fldChar w:fldCharType="separate"/>
          </w:r>
          <w:r>
            <w:t xml:space="preserve">5.1 </w:t>
          </w:r>
          <w:r>
            <w:rPr>
              <w:rFonts w:ascii="黑体" w:hAnsi="黑体" w:eastAsia="黑体"/>
            </w:rPr>
            <w:t>新增指标与指标查询</w:t>
          </w:r>
          <w:r>
            <w:tab/>
          </w:r>
          <w:r>
            <w:fldChar w:fldCharType="begin"/>
          </w:r>
          <w:r>
            <w:instrText xml:space="preserve"> PAGEREF _Toc936863548 \h </w:instrText>
          </w:r>
          <w:r>
            <w:fldChar w:fldCharType="separate"/>
          </w:r>
          <w:r>
            <w:t>22</w:t>
          </w:r>
          <w:r>
            <w:fldChar w:fldCharType="end"/>
          </w:r>
          <w:r>
            <w:fldChar w:fldCharType="end"/>
          </w:r>
        </w:p>
        <w:p w14:paraId="732A7E13">
          <w:pPr>
            <w:pStyle w:val="30"/>
            <w:tabs>
              <w:tab w:val="right" w:leader="dot" w:pos="9072"/>
            </w:tabs>
          </w:pPr>
          <w:r>
            <w:fldChar w:fldCharType="begin"/>
          </w:r>
          <w:r>
            <w:instrText xml:space="preserve"> HYPERLINK \l _Toc515551432 </w:instrText>
          </w:r>
          <w:r>
            <w:fldChar w:fldCharType="separate"/>
          </w:r>
          <w:r>
            <w:t xml:space="preserve">5.2 </w:t>
          </w:r>
          <w:r>
            <w:rPr>
              <w:rFonts w:ascii="黑体" w:hAnsi="黑体" w:eastAsia="黑体"/>
            </w:rPr>
            <w:t>智能报告</w:t>
          </w:r>
          <w:r>
            <w:tab/>
          </w:r>
          <w:r>
            <w:fldChar w:fldCharType="begin"/>
          </w:r>
          <w:r>
            <w:instrText xml:space="preserve"> PAGEREF _Toc515551432 \h </w:instrText>
          </w:r>
          <w:r>
            <w:fldChar w:fldCharType="separate"/>
          </w:r>
          <w:r>
            <w:t>22</w:t>
          </w:r>
          <w:r>
            <w:fldChar w:fldCharType="end"/>
          </w:r>
          <w:r>
            <w:fldChar w:fldCharType="end"/>
          </w:r>
        </w:p>
        <w:p w14:paraId="6B34CE2A">
          <w:pPr>
            <w:pStyle w:val="24"/>
            <w:tabs>
              <w:tab w:val="right" w:leader="dot" w:pos="9072"/>
            </w:tabs>
          </w:pPr>
          <w:r>
            <w:fldChar w:fldCharType="begin"/>
          </w:r>
          <w:r>
            <w:instrText xml:space="preserve"> HYPERLINK \l _Toc1923885626 </w:instrText>
          </w:r>
          <w:r>
            <w:fldChar w:fldCharType="separate"/>
          </w:r>
          <w:r>
            <w:t xml:space="preserve">5.2.1 </w:t>
          </w:r>
          <w:r>
            <w:rPr>
              <w:rFonts w:ascii="黑体" w:hAnsi="黑体" w:eastAsia="黑体"/>
            </w:rPr>
            <w:t>资金运行分析报告</w:t>
          </w:r>
          <w:r>
            <w:tab/>
          </w:r>
          <w:r>
            <w:fldChar w:fldCharType="begin"/>
          </w:r>
          <w:r>
            <w:instrText xml:space="preserve"> PAGEREF _Toc1923885626 \h </w:instrText>
          </w:r>
          <w:r>
            <w:fldChar w:fldCharType="separate"/>
          </w:r>
          <w:r>
            <w:t>23</w:t>
          </w:r>
          <w:r>
            <w:fldChar w:fldCharType="end"/>
          </w:r>
          <w:r>
            <w:fldChar w:fldCharType="end"/>
          </w:r>
        </w:p>
        <w:p w14:paraId="25D877D5">
          <w:pPr>
            <w:pStyle w:val="24"/>
            <w:tabs>
              <w:tab w:val="right" w:leader="dot" w:pos="9072"/>
            </w:tabs>
          </w:pPr>
          <w:r>
            <w:fldChar w:fldCharType="begin"/>
          </w:r>
          <w:r>
            <w:instrText xml:space="preserve"> HYPERLINK \l _Toc84443303 </w:instrText>
          </w:r>
          <w:r>
            <w:fldChar w:fldCharType="separate"/>
          </w:r>
          <w:r>
            <w:t xml:space="preserve">5.2.2 </w:t>
          </w:r>
          <w:r>
            <w:rPr>
              <w:rFonts w:ascii="黑体" w:hAnsi="黑体" w:eastAsia="黑体"/>
            </w:rPr>
            <w:t>月度快报</w:t>
          </w:r>
          <w:r>
            <w:tab/>
          </w:r>
          <w:r>
            <w:fldChar w:fldCharType="begin"/>
          </w:r>
          <w:r>
            <w:instrText xml:space="preserve"> PAGEREF _Toc84443303 \h </w:instrText>
          </w:r>
          <w:r>
            <w:fldChar w:fldCharType="separate"/>
          </w:r>
          <w:r>
            <w:t>23</w:t>
          </w:r>
          <w:r>
            <w:fldChar w:fldCharType="end"/>
          </w:r>
          <w:r>
            <w:fldChar w:fldCharType="end"/>
          </w:r>
        </w:p>
        <w:p w14:paraId="4877551E">
          <w:pPr>
            <w:pStyle w:val="24"/>
            <w:tabs>
              <w:tab w:val="right" w:leader="dot" w:pos="9072"/>
            </w:tabs>
          </w:pPr>
          <w:r>
            <w:fldChar w:fldCharType="begin"/>
          </w:r>
          <w:r>
            <w:instrText xml:space="preserve"> HYPERLINK \l _Toc1899386501 </w:instrText>
          </w:r>
          <w:r>
            <w:fldChar w:fldCharType="separate"/>
          </w:r>
          <w:r>
            <w:t xml:space="preserve">5.2.3 </w:t>
          </w:r>
          <w:r>
            <w:rPr>
              <w:rFonts w:ascii="黑体" w:hAnsi="黑体" w:eastAsia="黑体"/>
            </w:rPr>
            <w:t>季度快报</w:t>
          </w:r>
          <w:r>
            <w:tab/>
          </w:r>
          <w:r>
            <w:fldChar w:fldCharType="begin"/>
          </w:r>
          <w:r>
            <w:instrText xml:space="preserve"> PAGEREF _Toc1899386501 \h </w:instrText>
          </w:r>
          <w:r>
            <w:fldChar w:fldCharType="separate"/>
          </w:r>
          <w:r>
            <w:t>23</w:t>
          </w:r>
          <w:r>
            <w:fldChar w:fldCharType="end"/>
          </w:r>
          <w:r>
            <w:fldChar w:fldCharType="end"/>
          </w:r>
        </w:p>
        <w:p w14:paraId="2445DEFB">
          <w:pPr>
            <w:pStyle w:val="27"/>
            <w:tabs>
              <w:tab w:val="right" w:leader="dot" w:pos="9072"/>
            </w:tabs>
          </w:pPr>
          <w:r>
            <w:fldChar w:fldCharType="begin"/>
          </w:r>
          <w:r>
            <w:instrText xml:space="preserve"> HYPERLINK \l _Toc644509652 </w:instrText>
          </w:r>
          <w:r>
            <w:fldChar w:fldCharType="separate"/>
          </w:r>
          <w:r>
            <w:rPr>
              <w:rFonts w:hint="eastAsia"/>
            </w:rPr>
            <w:t xml:space="preserve">6 </w:t>
          </w:r>
          <w:r>
            <w:rPr>
              <w:rFonts w:ascii="黑体" w:hAnsi="黑体" w:eastAsia="黑体"/>
            </w:rPr>
            <w:t>综合查询</w:t>
          </w:r>
          <w:r>
            <w:tab/>
          </w:r>
          <w:r>
            <w:fldChar w:fldCharType="begin"/>
          </w:r>
          <w:r>
            <w:instrText xml:space="preserve"> PAGEREF _Toc644509652 \h </w:instrText>
          </w:r>
          <w:r>
            <w:fldChar w:fldCharType="separate"/>
          </w:r>
          <w:r>
            <w:t>23</w:t>
          </w:r>
          <w:r>
            <w:fldChar w:fldCharType="end"/>
          </w:r>
          <w:r>
            <w:fldChar w:fldCharType="end"/>
          </w:r>
        </w:p>
        <w:p w14:paraId="79EE467F">
          <w:pPr>
            <w:pStyle w:val="30"/>
            <w:tabs>
              <w:tab w:val="right" w:leader="dot" w:pos="9072"/>
            </w:tabs>
          </w:pPr>
          <w:r>
            <w:fldChar w:fldCharType="begin"/>
          </w:r>
          <w:r>
            <w:instrText xml:space="preserve"> HYPERLINK \l _Toc366205696 </w:instrText>
          </w:r>
          <w:r>
            <w:fldChar w:fldCharType="separate"/>
          </w:r>
          <w:r>
            <w:t xml:space="preserve">6.1 </w:t>
          </w:r>
          <w:r>
            <w:rPr>
              <w:rFonts w:ascii="黑体" w:hAnsi="黑体" w:eastAsia="黑体"/>
            </w:rPr>
            <w:t>数据查询</w:t>
          </w:r>
          <w:r>
            <w:tab/>
          </w:r>
          <w:r>
            <w:fldChar w:fldCharType="begin"/>
          </w:r>
          <w:r>
            <w:instrText xml:space="preserve"> PAGEREF _Toc366205696 \h </w:instrText>
          </w:r>
          <w:r>
            <w:fldChar w:fldCharType="separate"/>
          </w:r>
          <w:r>
            <w:t>23</w:t>
          </w:r>
          <w:r>
            <w:fldChar w:fldCharType="end"/>
          </w:r>
          <w:r>
            <w:fldChar w:fldCharType="end"/>
          </w:r>
        </w:p>
        <w:p w14:paraId="40F02FB1">
          <w:pPr>
            <w:pStyle w:val="30"/>
            <w:tabs>
              <w:tab w:val="right" w:leader="dot" w:pos="9072"/>
            </w:tabs>
          </w:pPr>
          <w:r>
            <w:fldChar w:fldCharType="begin"/>
          </w:r>
          <w:r>
            <w:instrText xml:space="preserve"> HYPERLINK \l _Toc131000370 </w:instrText>
          </w:r>
          <w:r>
            <w:fldChar w:fldCharType="separate"/>
          </w:r>
          <w:r>
            <w:t xml:space="preserve">6.2 </w:t>
          </w:r>
          <w:r>
            <w:rPr>
              <w:rFonts w:ascii="黑体" w:hAnsi="黑体" w:eastAsia="黑体"/>
            </w:rPr>
            <w:t>过滤条件 IN 逻辑</w:t>
          </w:r>
          <w:r>
            <w:tab/>
          </w:r>
          <w:r>
            <w:fldChar w:fldCharType="begin"/>
          </w:r>
          <w:r>
            <w:instrText xml:space="preserve"> PAGEREF _Toc131000370 \h </w:instrText>
          </w:r>
          <w:r>
            <w:fldChar w:fldCharType="separate"/>
          </w:r>
          <w:r>
            <w:t>24</w:t>
          </w:r>
          <w:r>
            <w:fldChar w:fldCharType="end"/>
          </w:r>
          <w:r>
            <w:fldChar w:fldCharType="end"/>
          </w:r>
        </w:p>
        <w:p w14:paraId="00A66E77">
          <w:pPr>
            <w:pStyle w:val="30"/>
            <w:tabs>
              <w:tab w:val="right" w:leader="dot" w:pos="9072"/>
            </w:tabs>
          </w:pPr>
          <w:r>
            <w:fldChar w:fldCharType="begin"/>
          </w:r>
          <w:r>
            <w:instrText xml:space="preserve"> HYPERLINK \l _Toc552480415 </w:instrText>
          </w:r>
          <w:r>
            <w:fldChar w:fldCharType="separate"/>
          </w:r>
          <w:r>
            <w:t xml:space="preserve">6.3 </w:t>
          </w:r>
          <w:r>
            <w:rPr>
              <w:rFonts w:ascii="黑体" w:hAnsi="黑体" w:eastAsia="黑体"/>
            </w:rPr>
            <w:t>电子退库信息表</w:t>
          </w:r>
          <w:r>
            <w:tab/>
          </w:r>
          <w:r>
            <w:fldChar w:fldCharType="begin"/>
          </w:r>
          <w:r>
            <w:instrText xml:space="preserve"> PAGEREF _Toc552480415 \h </w:instrText>
          </w:r>
          <w:r>
            <w:fldChar w:fldCharType="separate"/>
          </w:r>
          <w:r>
            <w:t>24</w:t>
          </w:r>
          <w:r>
            <w:fldChar w:fldCharType="end"/>
          </w:r>
          <w:r>
            <w:fldChar w:fldCharType="end"/>
          </w:r>
        </w:p>
        <w:p w14:paraId="3C567786">
          <w:pPr>
            <w:pStyle w:val="27"/>
            <w:tabs>
              <w:tab w:val="right" w:leader="dot" w:pos="9072"/>
            </w:tabs>
          </w:pPr>
          <w:r>
            <w:fldChar w:fldCharType="begin"/>
          </w:r>
          <w:r>
            <w:instrText xml:space="preserve"> HYPERLINK \l _Toc1966528924 </w:instrText>
          </w:r>
          <w:r>
            <w:fldChar w:fldCharType="separate"/>
          </w:r>
          <w:r>
            <w:rPr>
              <w:rFonts w:hint="eastAsia"/>
            </w:rPr>
            <w:t xml:space="preserve">7 </w:t>
          </w:r>
          <w:r>
            <w:rPr>
              <w:rFonts w:ascii="黑体" w:hAnsi="黑体" w:eastAsia="黑体"/>
            </w:rPr>
            <w:t>动态刷数</w:t>
          </w:r>
          <w:r>
            <w:tab/>
          </w:r>
          <w:r>
            <w:fldChar w:fldCharType="begin"/>
          </w:r>
          <w:r>
            <w:instrText xml:space="preserve"> PAGEREF _Toc1966528924 \h </w:instrText>
          </w:r>
          <w:r>
            <w:fldChar w:fldCharType="separate"/>
          </w:r>
          <w:r>
            <w:t>24</w:t>
          </w:r>
          <w:r>
            <w:fldChar w:fldCharType="end"/>
          </w:r>
          <w:r>
            <w:fldChar w:fldCharType="end"/>
          </w:r>
        </w:p>
        <w:p w14:paraId="17CE63AA">
          <w:pPr>
            <w:pStyle w:val="27"/>
            <w:tabs>
              <w:tab w:val="right" w:leader="dot" w:pos="9072"/>
            </w:tabs>
          </w:pPr>
          <w:r>
            <w:fldChar w:fldCharType="begin"/>
          </w:r>
          <w:r>
            <w:instrText xml:space="preserve"> HYPERLINK \l _Toc1678298338 </w:instrText>
          </w:r>
          <w:r>
            <w:fldChar w:fldCharType="separate"/>
          </w:r>
          <w:r>
            <w:rPr>
              <w:rFonts w:hint="eastAsia"/>
            </w:rPr>
            <w:t xml:space="preserve">8 </w:t>
          </w:r>
          <w:r>
            <w:rPr>
              <w:rFonts w:ascii="黑体" w:hAnsi="黑体" w:eastAsia="黑体"/>
            </w:rPr>
            <w:t>数据上报</w:t>
          </w:r>
          <w:r>
            <w:tab/>
          </w:r>
          <w:r>
            <w:fldChar w:fldCharType="begin"/>
          </w:r>
          <w:r>
            <w:instrText xml:space="preserve"> PAGEREF _Toc1678298338 \h </w:instrText>
          </w:r>
          <w:r>
            <w:fldChar w:fldCharType="separate"/>
          </w:r>
          <w:r>
            <w:t>25</w:t>
          </w:r>
          <w:r>
            <w:fldChar w:fldCharType="end"/>
          </w:r>
          <w:r>
            <w:fldChar w:fldCharType="end"/>
          </w:r>
        </w:p>
        <w:p w14:paraId="2A6DB1E7">
          <w:pPr>
            <w:pStyle w:val="30"/>
            <w:tabs>
              <w:tab w:val="right" w:leader="dot" w:pos="9072"/>
            </w:tabs>
          </w:pPr>
          <w:r>
            <w:fldChar w:fldCharType="begin"/>
          </w:r>
          <w:r>
            <w:instrText xml:space="preserve"> HYPERLINK \l _Toc2109947068 </w:instrText>
          </w:r>
          <w:r>
            <w:fldChar w:fldCharType="separate"/>
          </w:r>
          <w:r>
            <w:t xml:space="preserve">8.1 </w:t>
          </w:r>
          <w:r>
            <w:rPr>
              <w:rFonts w:ascii="黑体" w:hAnsi="黑体" w:eastAsia="黑体"/>
            </w:rPr>
            <w:t>上报范围与权限</w:t>
          </w:r>
          <w:r>
            <w:tab/>
          </w:r>
          <w:r>
            <w:fldChar w:fldCharType="begin"/>
          </w:r>
          <w:r>
            <w:instrText xml:space="preserve"> PAGEREF _Toc2109947068 \h </w:instrText>
          </w:r>
          <w:r>
            <w:fldChar w:fldCharType="separate"/>
          </w:r>
          <w:r>
            <w:t>25</w:t>
          </w:r>
          <w:r>
            <w:fldChar w:fldCharType="end"/>
          </w:r>
          <w:r>
            <w:fldChar w:fldCharType="end"/>
          </w:r>
        </w:p>
        <w:p w14:paraId="19F83910">
          <w:pPr>
            <w:pStyle w:val="30"/>
            <w:tabs>
              <w:tab w:val="right" w:leader="dot" w:pos="9072"/>
            </w:tabs>
          </w:pPr>
          <w:r>
            <w:fldChar w:fldCharType="begin"/>
          </w:r>
          <w:r>
            <w:instrText xml:space="preserve"> HYPERLINK \l _Toc482908965 </w:instrText>
          </w:r>
          <w:r>
            <w:fldChar w:fldCharType="separate"/>
          </w:r>
          <w:r>
            <w:t xml:space="preserve">8.2 </w:t>
          </w:r>
          <w:r>
            <w:rPr>
              <w:rFonts w:ascii="黑体" w:hAnsi="黑体" w:eastAsia="黑体"/>
            </w:rPr>
            <w:t>新增上报</w:t>
          </w:r>
          <w:r>
            <w:tab/>
          </w:r>
          <w:r>
            <w:fldChar w:fldCharType="begin"/>
          </w:r>
          <w:r>
            <w:instrText xml:space="preserve"> PAGEREF _Toc482908965 \h </w:instrText>
          </w:r>
          <w:r>
            <w:fldChar w:fldCharType="separate"/>
          </w:r>
          <w:r>
            <w:t>26</w:t>
          </w:r>
          <w:r>
            <w:fldChar w:fldCharType="end"/>
          </w:r>
          <w:r>
            <w:fldChar w:fldCharType="end"/>
          </w:r>
        </w:p>
        <w:p w14:paraId="61126636">
          <w:pPr>
            <w:pStyle w:val="24"/>
            <w:tabs>
              <w:tab w:val="right" w:leader="dot" w:pos="9072"/>
            </w:tabs>
          </w:pPr>
          <w:r>
            <w:fldChar w:fldCharType="begin"/>
          </w:r>
          <w:r>
            <w:instrText xml:space="preserve"> HYPERLINK \l _Toc910272742 </w:instrText>
          </w:r>
          <w:r>
            <w:fldChar w:fldCharType="separate"/>
          </w:r>
          <w:r>
            <w:t xml:space="preserve">8.2.1 </w:t>
          </w:r>
          <w:r>
            <w:rPr>
              <w:rFonts w:ascii="黑体" w:hAnsi="黑体" w:eastAsia="黑体"/>
            </w:rPr>
            <w:t>KEY 上报要点</w:t>
          </w:r>
          <w:r>
            <w:tab/>
          </w:r>
          <w:r>
            <w:fldChar w:fldCharType="begin"/>
          </w:r>
          <w:r>
            <w:instrText xml:space="preserve"> PAGEREF _Toc910272742 \h </w:instrText>
          </w:r>
          <w:r>
            <w:fldChar w:fldCharType="separate"/>
          </w:r>
          <w:r>
            <w:t>26</w:t>
          </w:r>
          <w:r>
            <w:fldChar w:fldCharType="end"/>
          </w:r>
          <w:r>
            <w:fldChar w:fldCharType="end"/>
          </w:r>
        </w:p>
        <w:p w14:paraId="7C6D29D7">
          <w:pPr>
            <w:pStyle w:val="24"/>
            <w:tabs>
              <w:tab w:val="right" w:leader="dot" w:pos="9072"/>
            </w:tabs>
          </w:pPr>
          <w:r>
            <w:fldChar w:fldCharType="begin"/>
          </w:r>
          <w:r>
            <w:instrText xml:space="preserve"> HYPERLINK \l _Toc280473566 </w:instrText>
          </w:r>
          <w:r>
            <w:fldChar w:fldCharType="separate"/>
          </w:r>
          <w:r>
            <w:t xml:space="preserve">8.2.2 </w:t>
          </w:r>
          <w:r>
            <w:rPr>
              <w:rFonts w:ascii="黑体" w:hAnsi="黑体" w:eastAsia="黑体"/>
            </w:rPr>
            <w:t>TIMS 上报要点</w:t>
          </w:r>
          <w:r>
            <w:tab/>
          </w:r>
          <w:r>
            <w:fldChar w:fldCharType="begin"/>
          </w:r>
          <w:r>
            <w:instrText xml:space="preserve"> PAGEREF _Toc280473566 \h </w:instrText>
          </w:r>
          <w:r>
            <w:fldChar w:fldCharType="separate"/>
          </w:r>
          <w:r>
            <w:t>26</w:t>
          </w:r>
          <w:r>
            <w:fldChar w:fldCharType="end"/>
          </w:r>
          <w:r>
            <w:fldChar w:fldCharType="end"/>
          </w:r>
        </w:p>
        <w:p w14:paraId="317A31CB">
          <w:pPr>
            <w:pStyle w:val="30"/>
            <w:tabs>
              <w:tab w:val="right" w:leader="dot" w:pos="9072"/>
            </w:tabs>
          </w:pPr>
          <w:r>
            <w:fldChar w:fldCharType="begin"/>
          </w:r>
          <w:r>
            <w:instrText xml:space="preserve"> HYPERLINK \l _Toc192618597 </w:instrText>
          </w:r>
          <w:r>
            <w:fldChar w:fldCharType="separate"/>
          </w:r>
          <w:r>
            <w:t xml:space="preserve">8.3 </w:t>
          </w:r>
          <w:r>
            <w:rPr>
              <w:rFonts w:ascii="黑体" w:hAnsi="黑体" w:eastAsia="黑体"/>
            </w:rPr>
            <w:t>解析情况</w:t>
          </w:r>
          <w:r>
            <w:tab/>
          </w:r>
          <w:r>
            <w:fldChar w:fldCharType="begin"/>
          </w:r>
          <w:r>
            <w:instrText xml:space="preserve"> PAGEREF _Toc192618597 \h </w:instrText>
          </w:r>
          <w:r>
            <w:fldChar w:fldCharType="separate"/>
          </w:r>
          <w:r>
            <w:t>27</w:t>
          </w:r>
          <w:r>
            <w:fldChar w:fldCharType="end"/>
          </w:r>
          <w:r>
            <w:fldChar w:fldCharType="end"/>
          </w:r>
        </w:p>
        <w:p w14:paraId="522F61BD">
          <w:pPr>
            <w:pStyle w:val="30"/>
            <w:tabs>
              <w:tab w:val="right" w:leader="dot" w:pos="9072"/>
            </w:tabs>
          </w:pPr>
          <w:r>
            <w:fldChar w:fldCharType="begin"/>
          </w:r>
          <w:r>
            <w:instrText xml:space="preserve"> HYPERLINK \l _Toc1082903750 </w:instrText>
          </w:r>
          <w:r>
            <w:fldChar w:fldCharType="separate"/>
          </w:r>
          <w:r>
            <w:t xml:space="preserve">8.4 </w:t>
          </w:r>
          <w:r>
            <w:rPr>
              <w:rFonts w:ascii="黑体" w:hAnsi="黑体" w:eastAsia="黑体"/>
            </w:rPr>
            <w:t>手工 ADM 加工</w:t>
          </w:r>
          <w:r>
            <w:tab/>
          </w:r>
          <w:r>
            <w:fldChar w:fldCharType="begin"/>
          </w:r>
          <w:r>
            <w:instrText xml:space="preserve"> PAGEREF _Toc1082903750 \h </w:instrText>
          </w:r>
          <w:r>
            <w:fldChar w:fldCharType="separate"/>
          </w:r>
          <w:r>
            <w:t>28</w:t>
          </w:r>
          <w:r>
            <w:fldChar w:fldCharType="end"/>
          </w:r>
          <w:r>
            <w:fldChar w:fldCharType="end"/>
          </w:r>
        </w:p>
        <w:p w14:paraId="1F38A8F7">
          <w:pPr>
            <w:pStyle w:val="27"/>
            <w:tabs>
              <w:tab w:val="right" w:leader="dot" w:pos="9072"/>
            </w:tabs>
          </w:pPr>
          <w:r>
            <w:fldChar w:fldCharType="begin"/>
          </w:r>
          <w:r>
            <w:instrText xml:space="preserve"> HYPERLINK \l _Toc439417925 </w:instrText>
          </w:r>
          <w:r>
            <w:fldChar w:fldCharType="separate"/>
          </w:r>
          <w:r>
            <w:rPr>
              <w:rFonts w:hint="eastAsia"/>
            </w:rPr>
            <w:t xml:space="preserve">9 </w:t>
          </w:r>
          <w:r>
            <w:rPr>
              <w:rFonts w:ascii="黑体" w:hAnsi="黑体" w:eastAsia="黑体"/>
            </w:rPr>
            <w:t>数据源与运行环境说明</w:t>
          </w:r>
          <w:r>
            <w:tab/>
          </w:r>
          <w:r>
            <w:fldChar w:fldCharType="begin"/>
          </w:r>
          <w:r>
            <w:instrText xml:space="preserve"> PAGEREF _Toc439417925 \h </w:instrText>
          </w:r>
          <w:r>
            <w:fldChar w:fldCharType="separate"/>
          </w:r>
          <w:r>
            <w:t>28</w:t>
          </w:r>
          <w:r>
            <w:fldChar w:fldCharType="end"/>
          </w:r>
          <w:r>
            <w:fldChar w:fldCharType="end"/>
          </w:r>
        </w:p>
        <w:p w14:paraId="50902B18">
          <w:pPr>
            <w:pStyle w:val="27"/>
            <w:tabs>
              <w:tab w:val="right" w:leader="dot" w:pos="9072"/>
            </w:tabs>
          </w:pPr>
          <w:r>
            <w:fldChar w:fldCharType="begin"/>
          </w:r>
          <w:r>
            <w:instrText xml:space="preserve"> HYPERLINK \l _Toc100803442 </w:instrText>
          </w:r>
          <w:r>
            <w:fldChar w:fldCharType="separate"/>
          </w:r>
          <w:r>
            <w:rPr>
              <w:rFonts w:hint="eastAsia"/>
            </w:rPr>
            <w:t xml:space="preserve">10 </w:t>
          </w:r>
          <w:r>
            <w:rPr>
              <w:rFonts w:ascii="黑体" w:hAnsi="黑体" w:eastAsia="黑体"/>
            </w:rPr>
            <w:t>信创改造与优化变更汇总</w:t>
          </w:r>
          <w:r>
            <w:tab/>
          </w:r>
          <w:r>
            <w:fldChar w:fldCharType="begin"/>
          </w:r>
          <w:r>
            <w:instrText xml:space="preserve"> PAGEREF _Toc100803442 \h </w:instrText>
          </w:r>
          <w:r>
            <w:fldChar w:fldCharType="separate"/>
          </w:r>
          <w:r>
            <w:t>29</w:t>
          </w:r>
          <w:r>
            <w:fldChar w:fldCharType="end"/>
          </w:r>
          <w:r>
            <w:fldChar w:fldCharType="end"/>
          </w:r>
        </w:p>
        <w:p w14:paraId="15FBB367">
          <w:pPr>
            <w:pStyle w:val="30"/>
            <w:tabs>
              <w:tab w:val="right" w:leader="dot" w:pos="9072"/>
            </w:tabs>
          </w:pPr>
          <w:r>
            <w:fldChar w:fldCharType="begin"/>
          </w:r>
          <w:r>
            <w:instrText xml:space="preserve"> HYPERLINK \l _Toc1986335858 </w:instrText>
          </w:r>
          <w:r>
            <w:fldChar w:fldCharType="separate"/>
          </w:r>
          <w:r>
            <w:t xml:space="preserve">10.1 </w:t>
          </w:r>
          <w:r>
            <w:rPr>
              <w:rFonts w:ascii="黑体" w:hAnsi="黑体" w:eastAsia="黑体"/>
            </w:rPr>
            <w:t>登录认证与权限</w:t>
          </w:r>
          <w:r>
            <w:tab/>
          </w:r>
          <w:r>
            <w:fldChar w:fldCharType="begin"/>
          </w:r>
          <w:r>
            <w:instrText xml:space="preserve"> PAGEREF _Toc1986335858 \h </w:instrText>
          </w:r>
          <w:r>
            <w:fldChar w:fldCharType="separate"/>
          </w:r>
          <w:r>
            <w:t>29</w:t>
          </w:r>
          <w:r>
            <w:fldChar w:fldCharType="end"/>
          </w:r>
          <w:r>
            <w:fldChar w:fldCharType="end"/>
          </w:r>
        </w:p>
        <w:p w14:paraId="329F1E6D">
          <w:pPr>
            <w:pStyle w:val="30"/>
            <w:tabs>
              <w:tab w:val="right" w:leader="dot" w:pos="9072"/>
            </w:tabs>
          </w:pPr>
          <w:r>
            <w:fldChar w:fldCharType="begin"/>
          </w:r>
          <w:r>
            <w:instrText xml:space="preserve"> HYPERLINK \l _Toc1713472791 </w:instrText>
          </w:r>
          <w:r>
            <w:fldChar w:fldCharType="separate"/>
          </w:r>
          <w:r>
            <w:t xml:space="preserve">10.2 </w:t>
          </w:r>
          <w:r>
            <w:rPr>
              <w:rFonts w:ascii="黑体" w:hAnsi="黑体" w:eastAsia="黑体"/>
            </w:rPr>
            <w:t>系统整合与可视化</w:t>
          </w:r>
          <w:r>
            <w:tab/>
          </w:r>
          <w:r>
            <w:fldChar w:fldCharType="begin"/>
          </w:r>
          <w:r>
            <w:instrText xml:space="preserve"> PAGEREF _Toc1713472791 \h </w:instrText>
          </w:r>
          <w:r>
            <w:fldChar w:fldCharType="separate"/>
          </w:r>
          <w:r>
            <w:t>29</w:t>
          </w:r>
          <w:r>
            <w:fldChar w:fldCharType="end"/>
          </w:r>
          <w:r>
            <w:fldChar w:fldCharType="end"/>
          </w:r>
        </w:p>
        <w:p w14:paraId="747F9951">
          <w:pPr>
            <w:pStyle w:val="30"/>
            <w:tabs>
              <w:tab w:val="right" w:leader="dot" w:pos="9072"/>
            </w:tabs>
          </w:pPr>
          <w:r>
            <w:fldChar w:fldCharType="begin"/>
          </w:r>
          <w:r>
            <w:instrText xml:space="preserve"> HYPERLINK \l _Toc581492067 </w:instrText>
          </w:r>
          <w:r>
            <w:fldChar w:fldCharType="separate"/>
          </w:r>
          <w:r>
            <w:t xml:space="preserve">10.3 </w:t>
          </w:r>
          <w:r>
            <w:rPr>
              <w:rFonts w:ascii="黑体" w:hAnsi="黑体" w:eastAsia="黑体"/>
            </w:rPr>
            <w:t>指标、报告与综合查询</w:t>
          </w:r>
          <w:r>
            <w:tab/>
          </w:r>
          <w:r>
            <w:fldChar w:fldCharType="begin"/>
          </w:r>
          <w:r>
            <w:instrText xml:space="preserve"> PAGEREF _Toc581492067 \h </w:instrText>
          </w:r>
          <w:r>
            <w:fldChar w:fldCharType="separate"/>
          </w:r>
          <w:r>
            <w:t>29</w:t>
          </w:r>
          <w:r>
            <w:fldChar w:fldCharType="end"/>
          </w:r>
          <w:r>
            <w:fldChar w:fldCharType="end"/>
          </w:r>
        </w:p>
        <w:p w14:paraId="50E1157E">
          <w:pPr>
            <w:pStyle w:val="30"/>
            <w:tabs>
              <w:tab w:val="right" w:leader="dot" w:pos="9072"/>
            </w:tabs>
          </w:pPr>
          <w:r>
            <w:fldChar w:fldCharType="begin"/>
          </w:r>
          <w:r>
            <w:instrText xml:space="preserve"> HYPERLINK \l _Toc2086576219 </w:instrText>
          </w:r>
          <w:r>
            <w:fldChar w:fldCharType="separate"/>
          </w:r>
          <w:r>
            <w:t xml:space="preserve">10.4 </w:t>
          </w:r>
          <w:r>
            <w:rPr>
              <w:rFonts w:ascii="黑体" w:hAnsi="黑体" w:eastAsia="黑体"/>
            </w:rPr>
            <w:t>动态刷数与数据上报</w:t>
          </w:r>
          <w:r>
            <w:tab/>
          </w:r>
          <w:r>
            <w:fldChar w:fldCharType="begin"/>
          </w:r>
          <w:r>
            <w:instrText xml:space="preserve"> PAGEREF _Toc2086576219 \h </w:instrText>
          </w:r>
          <w:r>
            <w:fldChar w:fldCharType="separate"/>
          </w:r>
          <w:r>
            <w:t>29</w:t>
          </w:r>
          <w:r>
            <w:fldChar w:fldCharType="end"/>
          </w:r>
          <w:r>
            <w:fldChar w:fldCharType="end"/>
          </w:r>
        </w:p>
        <w:p w14:paraId="35F3EC96">
          <w:pPr>
            <w:pStyle w:val="30"/>
            <w:tabs>
              <w:tab w:val="right" w:leader="dot" w:pos="9072"/>
            </w:tabs>
          </w:pPr>
          <w:r>
            <w:fldChar w:fldCharType="begin"/>
          </w:r>
          <w:r>
            <w:instrText xml:space="preserve"> HYPERLINK \l _Toc678557223 </w:instrText>
          </w:r>
          <w:r>
            <w:fldChar w:fldCharType="separate"/>
          </w:r>
          <w:r>
            <w:t xml:space="preserve">10.5 </w:t>
          </w:r>
          <w:r>
            <w:rPr>
              <w:rFonts w:ascii="黑体" w:hAnsi="黑体" w:eastAsia="黑体"/>
            </w:rPr>
            <w:t>数据库与数据源</w:t>
          </w:r>
          <w:r>
            <w:tab/>
          </w:r>
          <w:r>
            <w:fldChar w:fldCharType="begin"/>
          </w:r>
          <w:r>
            <w:instrText xml:space="preserve"> PAGEREF _Toc678557223 \h </w:instrText>
          </w:r>
          <w:r>
            <w:fldChar w:fldCharType="separate"/>
          </w:r>
          <w:r>
            <w:t>29</w:t>
          </w:r>
          <w:r>
            <w:fldChar w:fldCharType="end"/>
          </w:r>
          <w:r>
            <w:fldChar w:fldCharType="end"/>
          </w:r>
        </w:p>
        <w:p w14:paraId="3FEBDBC4">
          <w:pPr>
            <w:pStyle w:val="27"/>
            <w:tabs>
              <w:tab w:val="right" w:leader="dot" w:pos="9072"/>
            </w:tabs>
          </w:pPr>
          <w:r>
            <w:fldChar w:fldCharType="begin"/>
          </w:r>
          <w:r>
            <w:instrText xml:space="preserve"> HYPERLINK \l _Toc1373081391 </w:instrText>
          </w:r>
          <w:r>
            <w:fldChar w:fldCharType="separate"/>
          </w:r>
          <w:r>
            <w:rPr>
              <w:rFonts w:hint="eastAsia"/>
            </w:rPr>
            <w:t xml:space="preserve">11 </w:t>
          </w:r>
          <w:r>
            <w:rPr>
              <w:rFonts w:ascii="黑体" w:hAnsi="黑体" w:eastAsia="黑体"/>
            </w:rPr>
            <w:t>常见问题</w:t>
          </w:r>
          <w:r>
            <w:tab/>
          </w:r>
          <w:r>
            <w:fldChar w:fldCharType="begin"/>
          </w:r>
          <w:r>
            <w:instrText xml:space="preserve"> PAGEREF _Toc1373081391 \h </w:instrText>
          </w:r>
          <w:r>
            <w:fldChar w:fldCharType="separate"/>
          </w:r>
          <w:r>
            <w:t>30</w:t>
          </w:r>
          <w:r>
            <w:fldChar w:fldCharType="end"/>
          </w:r>
          <w:r>
            <w:fldChar w:fldCharType="end"/>
          </w:r>
        </w:p>
        <w:p w14:paraId="5E3DBE25">
          <w:pPr>
            <w:pStyle w:val="30"/>
            <w:tabs>
              <w:tab w:val="right" w:leader="dot" w:pos="9072"/>
            </w:tabs>
          </w:pPr>
          <w:r>
            <w:fldChar w:fldCharType="begin"/>
          </w:r>
          <w:r>
            <w:instrText xml:space="preserve"> HYPERLINK \l _Toc519667875 </w:instrText>
          </w:r>
          <w:r>
            <w:fldChar w:fldCharType="separate"/>
          </w:r>
          <w:r>
            <w:t xml:space="preserve">11.1 </w:t>
          </w:r>
          <w:r>
            <w:rPr>
              <w:rFonts w:ascii="黑体" w:hAnsi="黑体" w:eastAsia="黑体"/>
            </w:rPr>
            <w:t>门户跳转后提示无权限或菜单为空</w:t>
          </w:r>
          <w:r>
            <w:tab/>
          </w:r>
          <w:r>
            <w:fldChar w:fldCharType="begin"/>
          </w:r>
          <w:r>
            <w:instrText xml:space="preserve"> PAGEREF _Toc519667875 \h </w:instrText>
          </w:r>
          <w:r>
            <w:fldChar w:fldCharType="separate"/>
          </w:r>
          <w:r>
            <w:t>30</w:t>
          </w:r>
          <w:r>
            <w:fldChar w:fldCharType="end"/>
          </w:r>
          <w:r>
            <w:fldChar w:fldCharType="end"/>
          </w:r>
        </w:p>
        <w:p w14:paraId="03ECE6E0">
          <w:pPr>
            <w:pStyle w:val="30"/>
            <w:tabs>
              <w:tab w:val="right" w:leader="dot" w:pos="9072"/>
            </w:tabs>
          </w:pPr>
          <w:r>
            <w:fldChar w:fldCharType="begin"/>
          </w:r>
          <w:r>
            <w:instrText xml:space="preserve"> HYPERLINK \l _Toc241982776 </w:instrText>
          </w:r>
          <w:r>
            <w:fldChar w:fldCharType="separate"/>
          </w:r>
          <w:r>
            <w:t xml:space="preserve">11.2 </w:t>
          </w:r>
          <w:r>
            <w:rPr>
              <w:rFonts w:ascii="黑体" w:hAnsi="黑体" w:eastAsia="黑体"/>
            </w:rPr>
            <w:t>能登录但查询/上报提示无法确定国库范围</w:t>
          </w:r>
          <w:r>
            <w:tab/>
          </w:r>
          <w:r>
            <w:fldChar w:fldCharType="begin"/>
          </w:r>
          <w:r>
            <w:instrText xml:space="preserve"> PAGEREF _Toc241982776 \h </w:instrText>
          </w:r>
          <w:r>
            <w:fldChar w:fldCharType="separate"/>
          </w:r>
          <w:r>
            <w:t>30</w:t>
          </w:r>
          <w:r>
            <w:fldChar w:fldCharType="end"/>
          </w:r>
          <w:r>
            <w:fldChar w:fldCharType="end"/>
          </w:r>
        </w:p>
        <w:p w14:paraId="22EFD5B9">
          <w:pPr>
            <w:pStyle w:val="30"/>
            <w:tabs>
              <w:tab w:val="right" w:leader="dot" w:pos="9072"/>
            </w:tabs>
          </w:pPr>
          <w:r>
            <w:fldChar w:fldCharType="begin"/>
          </w:r>
          <w:r>
            <w:instrText xml:space="preserve"> HYPERLINK \l _Toc1817972461 </w:instrText>
          </w:r>
          <w:r>
            <w:fldChar w:fldCharType="separate"/>
          </w:r>
          <w:r>
            <w:t xml:space="preserve">11.3 </w:t>
          </w:r>
          <w:r>
            <w:rPr>
              <w:rFonts w:ascii="黑体" w:hAnsi="黑体" w:eastAsia="黑体"/>
            </w:rPr>
            <w:t>指标转图或查询无数据/报错</w:t>
          </w:r>
          <w:r>
            <w:tab/>
          </w:r>
          <w:r>
            <w:fldChar w:fldCharType="begin"/>
          </w:r>
          <w:r>
            <w:instrText xml:space="preserve"> PAGEREF _Toc1817972461 \h </w:instrText>
          </w:r>
          <w:r>
            <w:fldChar w:fldCharType="separate"/>
          </w:r>
          <w:r>
            <w:t>30</w:t>
          </w:r>
          <w:r>
            <w:fldChar w:fldCharType="end"/>
          </w:r>
          <w:r>
            <w:fldChar w:fldCharType="end"/>
          </w:r>
        </w:p>
        <w:p w14:paraId="61C63FBA">
          <w:pPr>
            <w:pStyle w:val="30"/>
            <w:tabs>
              <w:tab w:val="right" w:leader="dot" w:pos="9072"/>
            </w:tabs>
          </w:pPr>
          <w:r>
            <w:fldChar w:fldCharType="begin"/>
          </w:r>
          <w:r>
            <w:instrText xml:space="preserve"> HYPERLINK \l _Toc265822511 </w:instrText>
          </w:r>
          <w:r>
            <w:fldChar w:fldCharType="separate"/>
          </w:r>
          <w:r>
            <w:t xml:space="preserve">11.4 </w:t>
          </w:r>
          <w:r>
            <w:rPr>
              <w:rFonts w:ascii="黑体" w:hAnsi="黑体" w:eastAsia="黑体"/>
            </w:rPr>
            <w:t>数据上报解析失败</w:t>
          </w:r>
          <w:r>
            <w:tab/>
          </w:r>
          <w:r>
            <w:fldChar w:fldCharType="begin"/>
          </w:r>
          <w:r>
            <w:instrText xml:space="preserve"> PAGEREF _Toc265822511 \h </w:instrText>
          </w:r>
          <w:r>
            <w:fldChar w:fldCharType="separate"/>
          </w:r>
          <w:r>
            <w:t>30</w:t>
          </w:r>
          <w:r>
            <w:fldChar w:fldCharType="end"/>
          </w:r>
          <w:r>
            <w:fldChar w:fldCharType="end"/>
          </w:r>
        </w:p>
        <w:p w14:paraId="79372DB4">
          <w:pPr>
            <w:pStyle w:val="30"/>
            <w:tabs>
              <w:tab w:val="right" w:leader="dot" w:pos="9072"/>
            </w:tabs>
          </w:pPr>
          <w:r>
            <w:fldChar w:fldCharType="begin"/>
          </w:r>
          <w:r>
            <w:instrText xml:space="preserve"> HYPERLINK \l _Toc912956617 </w:instrText>
          </w:r>
          <w:r>
            <w:fldChar w:fldCharType="separate"/>
          </w:r>
          <w:r>
            <w:t xml:space="preserve">11.5 </w:t>
          </w:r>
          <w:r>
            <w:rPr>
              <w:rFonts w:ascii="黑体" w:hAnsi="黑体" w:eastAsia="黑体"/>
            </w:rPr>
            <w:t>动态刷数失败</w:t>
          </w:r>
          <w:r>
            <w:tab/>
          </w:r>
          <w:r>
            <w:fldChar w:fldCharType="begin"/>
          </w:r>
          <w:r>
            <w:instrText xml:space="preserve"> PAGEREF _Toc912956617 \h </w:instrText>
          </w:r>
          <w:r>
            <w:fldChar w:fldCharType="separate"/>
          </w:r>
          <w:r>
            <w:t>30</w:t>
          </w:r>
          <w:r>
            <w:fldChar w:fldCharType="end"/>
          </w:r>
          <w:r>
            <w:fldChar w:fldCharType="end"/>
          </w:r>
        </w:p>
        <w:p w14:paraId="65DCF5E5">
          <w:pPr>
            <w:pStyle w:val="27"/>
            <w:tabs>
              <w:tab w:val="right" w:leader="dot" w:pos="9072"/>
            </w:tabs>
          </w:pPr>
          <w:r>
            <w:fldChar w:fldCharType="begin"/>
          </w:r>
          <w:r>
            <w:instrText xml:space="preserve"> HYPERLINK \l _Toc291204104 </w:instrText>
          </w:r>
          <w:r>
            <w:fldChar w:fldCharType="separate"/>
          </w:r>
          <w:r>
            <w:rPr>
              <w:rFonts w:hint="eastAsia"/>
            </w:rPr>
            <w:t xml:space="preserve">12 </w:t>
          </w:r>
          <w:r>
            <w:rPr>
              <w:rFonts w:ascii="黑体" w:hAnsi="黑体" w:eastAsia="黑体"/>
            </w:rPr>
            <w:t>附录</w:t>
          </w:r>
          <w:r>
            <w:tab/>
          </w:r>
          <w:r>
            <w:fldChar w:fldCharType="begin"/>
          </w:r>
          <w:r>
            <w:instrText xml:space="preserve"> PAGEREF _Toc291204104 \h </w:instrText>
          </w:r>
          <w:r>
            <w:fldChar w:fldCharType="separate"/>
          </w:r>
          <w:r>
            <w:t>30</w:t>
          </w:r>
          <w:r>
            <w:fldChar w:fldCharType="end"/>
          </w:r>
          <w:r>
            <w:fldChar w:fldCharType="end"/>
          </w:r>
        </w:p>
        <w:p w14:paraId="303301E8">
          <w:pPr>
            <w:pStyle w:val="30"/>
            <w:tabs>
              <w:tab w:val="right" w:leader="dot" w:pos="9072"/>
            </w:tabs>
          </w:pPr>
          <w:r>
            <w:fldChar w:fldCharType="begin"/>
          </w:r>
          <w:r>
            <w:instrText xml:space="preserve"> HYPERLINK \l _Toc152144415 </w:instrText>
          </w:r>
          <w:r>
            <w:fldChar w:fldCharType="separate"/>
          </w:r>
          <w:r>
            <w:t xml:space="preserve">12.1 </w:t>
          </w:r>
          <w:r>
            <w:rPr>
              <w:rFonts w:ascii="黑体" w:hAnsi="黑体" w:eastAsia="黑体"/>
            </w:rPr>
            <w:t>与历史手册章节对照</w:t>
          </w:r>
          <w:r>
            <w:tab/>
          </w:r>
          <w:r>
            <w:fldChar w:fldCharType="begin"/>
          </w:r>
          <w:r>
            <w:instrText xml:space="preserve"> PAGEREF _Toc152144415 \h </w:instrText>
          </w:r>
          <w:r>
            <w:fldChar w:fldCharType="separate"/>
          </w:r>
          <w:r>
            <w:t>30</w:t>
          </w:r>
          <w:r>
            <w:fldChar w:fldCharType="end"/>
          </w:r>
          <w:r>
            <w:fldChar w:fldCharType="end"/>
          </w:r>
        </w:p>
        <w:p w14:paraId="2600CC66">
          <w:pPr>
            <w:pStyle w:val="30"/>
            <w:tabs>
              <w:tab w:val="right" w:leader="dot" w:pos="9072"/>
            </w:tabs>
          </w:pPr>
          <w:r>
            <w:fldChar w:fldCharType="begin"/>
          </w:r>
          <w:r>
            <w:instrText xml:space="preserve"> HYPERLINK \l _Toc1585642975 </w:instrText>
          </w:r>
          <w:r>
            <w:fldChar w:fldCharType="separate"/>
          </w:r>
          <w:r>
            <w:t xml:space="preserve">12.2 </w:t>
          </w:r>
          <w:r>
            <w:rPr>
              <w:rFonts w:ascii="黑体" w:hAnsi="黑体" w:eastAsia="黑体"/>
            </w:rPr>
            <w:t>截图清单</w:t>
          </w:r>
          <w:r>
            <w:tab/>
          </w:r>
          <w:r>
            <w:fldChar w:fldCharType="begin"/>
          </w:r>
          <w:r>
            <w:instrText xml:space="preserve"> PAGEREF _Toc1585642975 \h </w:instrText>
          </w:r>
          <w:r>
            <w:fldChar w:fldCharType="separate"/>
          </w:r>
          <w:r>
            <w:t>31</w:t>
          </w:r>
          <w:r>
            <w:fldChar w:fldCharType="end"/>
          </w:r>
          <w:r>
            <w:fldChar w:fldCharType="end"/>
          </w:r>
        </w:p>
        <w:p w14:paraId="5FD44790">
          <w:pPr>
            <w:pStyle w:val="30"/>
            <w:tabs>
              <w:tab w:val="right" w:leader="dot" w:pos="9072"/>
            </w:tabs>
          </w:pPr>
          <w:r>
            <w:fldChar w:fldCharType="begin"/>
          </w:r>
          <w:r>
            <w:instrText xml:space="preserve"> HYPERLINK \l _Toc1776905202 </w:instrText>
          </w:r>
          <w:r>
            <w:fldChar w:fldCharType="separate"/>
          </w:r>
          <w:r>
            <w:t xml:space="preserve">12.3 </w:t>
          </w:r>
          <w:r>
            <w:rPr>
              <w:rFonts w:ascii="黑体" w:hAnsi="黑体" w:eastAsia="黑体"/>
            </w:rPr>
            <w:t>参考资料</w:t>
          </w:r>
          <w:r>
            <w:tab/>
          </w:r>
          <w:r>
            <w:fldChar w:fldCharType="begin"/>
          </w:r>
          <w:r>
            <w:instrText xml:space="preserve"> PAGEREF _Toc1776905202 \h </w:instrText>
          </w:r>
          <w:r>
            <w:fldChar w:fldCharType="separate"/>
          </w:r>
          <w:r>
            <w:t>31</w:t>
          </w:r>
          <w:r>
            <w:fldChar w:fldCharType="end"/>
          </w:r>
          <w:r>
            <w:fldChar w:fldCharType="end"/>
          </w:r>
        </w:p>
        <w:p w14:paraId="0E68911D">
          <w:r>
            <w:fldChar w:fldCharType="end"/>
          </w:r>
        </w:p>
      </w:sdtContent>
    </w:sdt>
    <w:p w14:paraId="2483E7D6"/>
    <w:p w14:paraId="1A1B153A">
      <w:r>
        <w:br w:type="page"/>
      </w:r>
    </w:p>
    <w:p w14:paraId="610C6A8F">
      <w:pPr>
        <w:pStyle w:val="4"/>
        <w:numPr>
          <w:ilvl w:val="0"/>
          <w:numId w:val="7"/>
        </w:numPr>
      </w:pPr>
      <w:bookmarkStart w:id="2" w:name="_Toc1025827766"/>
      <w:r>
        <w:rPr>
          <w:rFonts w:ascii="黑体" w:hAnsi="黑体" w:eastAsia="黑体"/>
          <w:b/>
          <w:sz w:val="32"/>
        </w:rPr>
        <w:t>概述</w:t>
      </w:r>
      <w:bookmarkEnd w:id="2"/>
    </w:p>
    <w:p w14:paraId="58EAEF49">
      <w:pPr>
        <w:pStyle w:val="5"/>
        <w:numPr>
          <w:ilvl w:val="1"/>
          <w:numId w:val="7"/>
        </w:numPr>
      </w:pPr>
      <w:bookmarkStart w:id="3" w:name="_Toc1088545046"/>
      <w:r>
        <w:rPr>
          <w:rFonts w:ascii="黑体" w:hAnsi="黑体" w:eastAsia="黑体"/>
          <w:b/>
          <w:sz w:val="28"/>
        </w:rPr>
        <w:t>编写目的</w:t>
      </w:r>
      <w:bookmarkEnd w:id="3"/>
    </w:p>
    <w:p w14:paraId="21E64E86">
      <w:pPr>
        <w:spacing w:line="360" w:lineRule="auto"/>
        <w:ind w:firstLine="420"/>
        <w:jc w:val="both"/>
      </w:pPr>
      <w:r>
        <w:rPr>
          <w:rFonts w:ascii="宋体" w:hAnsi="宋体" w:eastAsia="宋体"/>
          <w:sz w:val="24"/>
        </w:rPr>
        <w:t>本手册说明「国库大数据可视化平台」的日常操作方法，覆盖原「国库大数据可视化平台」与「国库大数据平台三期项目」合并后的全部业务功能，包括登录与权限、大数据可视化、指标查询与智能报告、综合查询、动态刷数、数据上报等。</w:t>
      </w:r>
    </w:p>
    <w:p w14:paraId="0B6B1C6D">
      <w:pPr>
        <w:spacing w:line="360" w:lineRule="auto"/>
        <w:ind w:firstLine="420"/>
        <w:jc w:val="both"/>
      </w:pPr>
      <w:r>
        <w:rPr>
          <w:rFonts w:ascii="宋体" w:hAnsi="宋体" w:eastAsia="宋体"/>
          <w:b/>
          <w:color w:val="C00000"/>
          <w:sz w:val="24"/>
        </w:rPr>
        <w:t>【变更】</w:t>
      </w:r>
      <w:r>
        <w:rPr>
          <w:rFonts w:ascii="宋体" w:hAnsi="宋体" w:eastAsia="宋体"/>
          <w:b w:val="0"/>
          <w:sz w:val="24"/>
        </w:rPr>
        <w:t>自本仓库 Git 初始化（2026年4月）起的信创改造与功能优化已并入本手册；凡相对原两本手册有调整、新增或上收的内容，均在正文中以【变更】标注。</w:t>
      </w:r>
    </w:p>
    <w:p w14:paraId="75330328">
      <w:pPr>
        <w:pStyle w:val="5"/>
        <w:numPr>
          <w:ilvl w:val="1"/>
          <w:numId w:val="7"/>
        </w:numPr>
      </w:pPr>
      <w:bookmarkStart w:id="4" w:name="_Toc763399329"/>
      <w:r>
        <w:rPr>
          <w:rFonts w:ascii="黑体" w:hAnsi="黑体" w:eastAsia="黑体"/>
          <w:b/>
          <w:sz w:val="28"/>
        </w:rPr>
        <w:t>系统整合说明</w:t>
      </w:r>
      <w:bookmarkEnd w:id="4"/>
    </w:p>
    <w:p w14:paraId="7883CBE9">
      <w:pPr>
        <w:spacing w:line="360" w:lineRule="auto"/>
        <w:ind w:firstLine="420"/>
        <w:jc w:val="both"/>
      </w:pPr>
      <w:r>
        <w:rPr>
          <w:rFonts w:ascii="宋体" w:hAnsi="宋体" w:eastAsia="宋体"/>
          <w:b/>
          <w:color w:val="C00000"/>
          <w:sz w:val="24"/>
        </w:rPr>
        <w:t>【变更】</w:t>
      </w:r>
      <w:r>
        <w:rPr>
          <w:rFonts w:ascii="宋体" w:hAnsi="宋体" w:eastAsia="宋体"/>
          <w:b w:val="0"/>
          <w:sz w:val="24"/>
        </w:rPr>
        <w:t>原「国库大数据可视化平台」与「国库大数据平台三期项目」已合成为一个系统，统一名称为「国库大数据可视化平台」。</w:t>
      </w:r>
    </w:p>
    <w:p w14:paraId="586C1D4F">
      <w:pPr>
        <w:spacing w:line="360" w:lineRule="auto"/>
        <w:ind w:firstLine="420"/>
        <w:jc w:val="both"/>
      </w:pPr>
      <w:r>
        <w:rPr>
          <w:rFonts w:ascii="宋体" w:hAnsi="宋体" w:eastAsia="宋体"/>
          <w:sz w:val="24"/>
        </w:rPr>
        <w:t>整合后，业务人员在同一套登录入口与菜单体系下使用可视化编排、指标分析、智能报告、综合查询及数据上报等能力，不再分别访问两套独立地址与独立账号体系（门户模式下）。</w:t>
      </w:r>
    </w:p>
    <w:p w14:paraId="3694FF51">
      <w:pPr>
        <w:pStyle w:val="17"/>
      </w:pPr>
      <w:r>
        <w:rPr>
          <w:rFonts w:ascii="宋体" w:hAnsi="宋体" w:eastAsia="宋体"/>
          <w:sz w:val="24"/>
        </w:rPr>
        <w:t>原可视化侧：方案推送、指标库方案、转图、图库、图片/视频、页面管理、展示方案等。</w:t>
      </w:r>
    </w:p>
    <w:p w14:paraId="7D75F2AE">
      <w:pPr>
        <w:pStyle w:val="17"/>
      </w:pPr>
      <w:r>
        <w:rPr>
          <w:rFonts w:ascii="宋体" w:hAnsi="宋体" w:eastAsia="宋体"/>
          <w:sz w:val="24"/>
        </w:rPr>
        <w:t>原三期侧：新增指标/指标查询、智能报告（月度/季度快报等）、综合查询与数据权限。</w:t>
      </w:r>
    </w:p>
    <w:p w14:paraId="4DE8B283">
      <w:pPr>
        <w:pStyle w:val="17"/>
      </w:pPr>
      <w:r>
        <w:rPr>
          <w:rFonts w:ascii="宋体" w:hAnsi="宋体" w:eastAsia="宋体"/>
          <w:b/>
          <w:color w:val="C00000"/>
          <w:sz w:val="24"/>
        </w:rPr>
        <w:t>【变更】</w:t>
      </w:r>
      <w:r>
        <w:rPr>
          <w:rFonts w:ascii="宋体" w:hAnsi="宋体" w:eastAsia="宋体"/>
          <w:sz w:val="24"/>
        </w:rPr>
        <w:t>信创改造新增/强化：门户 OAuth 登录与权限同步、数据上报（KEY/TIMS）、动态刷数与执行历史、Vastbase 数据源与查询适配、国库数据范围按身份动态叠加等。</w:t>
      </w:r>
    </w:p>
    <w:p w14:paraId="06FBAE48">
      <w:pPr>
        <w:pStyle w:val="5"/>
        <w:numPr>
          <w:ilvl w:val="1"/>
          <w:numId w:val="7"/>
        </w:numPr>
      </w:pPr>
      <w:bookmarkStart w:id="5" w:name="_Toc1385215325"/>
      <w:r>
        <w:rPr>
          <w:rFonts w:ascii="黑体" w:hAnsi="黑体" w:eastAsia="黑体"/>
          <w:b/>
          <w:sz w:val="28"/>
        </w:rPr>
        <w:t>读者与约定</w:t>
      </w:r>
      <w:bookmarkEnd w:id="5"/>
    </w:p>
    <w:p w14:paraId="6F95C510">
      <w:pPr>
        <w:pStyle w:val="17"/>
      </w:pPr>
      <w:r>
        <w:rPr>
          <w:rFonts w:ascii="宋体" w:hAnsi="宋体" w:eastAsia="宋体"/>
          <w:sz w:val="24"/>
        </w:rPr>
        <w:t>读者：中国人民银行重庆市分行及辖内业务人员、业务管理人员（已获菜单与数据权限）。</w:t>
      </w:r>
    </w:p>
    <w:p w14:paraId="78F74E44">
      <w:pPr>
        <w:pStyle w:val="17"/>
      </w:pPr>
      <w:r>
        <w:rPr>
          <w:rFonts w:ascii="宋体" w:hAnsi="宋体" w:eastAsia="宋体"/>
          <w:sz w:val="24"/>
        </w:rPr>
        <w:t>侧栏仅显示当前账号已授权菜单；未见某功能表示未获授权，请联系具备授权能力的管理人员。</w:t>
      </w:r>
    </w:p>
    <w:p w14:paraId="13CE2690">
      <w:pPr>
        <w:pStyle w:val="17"/>
      </w:pPr>
      <w:r>
        <w:rPr>
          <w:rFonts w:ascii="宋体" w:hAnsi="宋体" w:eastAsia="宋体"/>
          <w:b/>
          <w:color w:val="C00000"/>
          <w:sz w:val="24"/>
        </w:rPr>
        <w:t>【变更】</w:t>
      </w:r>
      <w:r>
        <w:rPr>
          <w:rFonts w:ascii="宋体" w:hAnsi="宋体" w:eastAsia="宋体"/>
          <w:sz w:val="24"/>
        </w:rPr>
        <w:t>建议使用谷歌 Chrome 或</w:t>
      </w:r>
      <w:r>
        <w:rPr>
          <w:rFonts w:hint="eastAsia"/>
          <w:sz w:val="24"/>
          <w:lang w:val="en-US" w:eastAsia="zh-CN"/>
        </w:rPr>
        <w:t>360企业</w:t>
      </w:r>
      <w:r>
        <w:rPr>
          <w:rFonts w:ascii="宋体" w:hAnsi="宋体" w:eastAsia="宋体"/>
          <w:sz w:val="24"/>
        </w:rPr>
        <w:t>浏览器访问；原手册建议的 Firefox 52 已不适配当前前端，请勿再作为推荐环境。</w:t>
      </w:r>
    </w:p>
    <w:p w14:paraId="71ED983B">
      <w:pPr>
        <w:pStyle w:val="17"/>
      </w:pPr>
      <w:r>
        <w:rPr>
          <w:rFonts w:ascii="宋体" w:hAnsi="宋体" w:eastAsia="宋体"/>
          <w:sz w:val="24"/>
        </w:rPr>
        <w:t>文中「操作路径」表示菜单或页面入口；【变更】表示相对历史手册有变化。</w:t>
      </w:r>
    </w:p>
    <w:p w14:paraId="2BEDA26D">
      <w:pPr>
        <w:pStyle w:val="5"/>
        <w:numPr>
          <w:ilvl w:val="1"/>
          <w:numId w:val="7"/>
        </w:numPr>
      </w:pPr>
      <w:bookmarkStart w:id="6" w:name="_Toc443750148"/>
      <w:r>
        <w:rPr>
          <w:rFonts w:ascii="黑体" w:hAnsi="黑体" w:eastAsia="黑体"/>
          <w:b/>
          <w:sz w:val="28"/>
        </w:rPr>
        <w:t>术语</w:t>
      </w:r>
      <w:bookmarkEnd w:id="6"/>
    </w:p>
    <w:p w14:paraId="7BA8E9A8">
      <w:pPr>
        <w:ind w:firstLine="0"/>
      </w:pPr>
      <w:r>
        <w:rPr>
          <w:rFonts w:ascii="宋体" w:hAnsi="宋体" w:eastAsia="宋体"/>
          <w:b/>
          <w:sz w:val="24"/>
        </w:rPr>
        <w:t>门户 / 统一认证平台：</w:t>
      </w:r>
      <w:r>
        <w:rPr>
          <w:rFonts w:ascii="宋体" w:hAnsi="宋体" w:eastAsia="宋体"/>
          <w:sz w:val="24"/>
        </w:rPr>
        <w:t>国库统一认证及门户支撑子系统，负责统一登录、用户与角色权限维护，以及下游系统入口跳转。</w:t>
      </w:r>
    </w:p>
    <w:p w14:paraId="02D23347">
      <w:pPr>
        <w:ind w:firstLine="0"/>
      </w:pPr>
      <w:r>
        <w:rPr>
          <w:rFonts w:ascii="宋体" w:hAnsi="宋体" w:eastAsia="宋体"/>
          <w:b/>
          <w:sz w:val="24"/>
        </w:rPr>
        <w:t>本系统 / 可视化平台：</w:t>
      </w:r>
      <w:r>
        <w:rPr>
          <w:rFonts w:ascii="宋体" w:hAnsi="宋体" w:eastAsia="宋体"/>
          <w:sz w:val="24"/>
        </w:rPr>
        <w:t>国库大数据可视化平台（本手册描述对象），含原可视化与三期分析能力。</w:t>
      </w:r>
    </w:p>
    <w:p w14:paraId="5BDF8210">
      <w:pPr>
        <w:ind w:firstLine="0"/>
      </w:pPr>
      <w:r>
        <w:rPr>
          <w:rFonts w:ascii="宋体" w:hAnsi="宋体" w:eastAsia="宋体"/>
          <w:b/>
          <w:sz w:val="24"/>
        </w:rPr>
        <w:t>核算主体 / subject_code：</w:t>
      </w:r>
      <w:r>
        <w:rPr>
          <w:rFonts w:ascii="宋体" w:hAnsi="宋体" w:eastAsia="宋体"/>
          <w:sz w:val="24"/>
        </w:rPr>
        <w:t>门户侧核算主体编码；门户登录后用于映射本系统国库维表并限定数据范围。</w:t>
      </w:r>
    </w:p>
    <w:p w14:paraId="121315AD">
      <w:pPr>
        <w:ind w:firstLine="0"/>
      </w:pPr>
      <w:r>
        <w:rPr>
          <w:rFonts w:ascii="宋体" w:hAnsi="宋体" w:eastAsia="宋体"/>
          <w:b/>
          <w:sz w:val="24"/>
        </w:rPr>
        <w:t>国库 ID / guoku_id：</w:t>
      </w:r>
      <w:r>
        <w:rPr>
          <w:rFonts w:ascii="宋体" w:hAnsi="宋体" w:eastAsia="宋体"/>
          <w:sz w:val="24"/>
        </w:rPr>
        <w:t>本系统国库维表标识；本地登录用户取自用户资料，门户登录用户由核算主体映射得到。</w:t>
      </w:r>
    </w:p>
    <w:p w14:paraId="30B16EEA">
      <w:pPr>
        <w:ind w:firstLine="0"/>
      </w:pPr>
      <w:r>
        <w:rPr>
          <w:rFonts w:ascii="宋体" w:hAnsi="宋体" w:eastAsia="宋体"/>
          <w:b/>
          <w:sz w:val="24"/>
        </w:rPr>
        <w:t>指标库方案：</w:t>
      </w:r>
      <w:r>
        <w:rPr>
          <w:rFonts w:ascii="宋体" w:hAnsi="宋体" w:eastAsia="宋体"/>
          <w:sz w:val="24"/>
        </w:rPr>
        <w:t>已推送或已保存的指标查询方案，可转图并用于大屏页面编排。</w:t>
      </w:r>
    </w:p>
    <w:p w14:paraId="15A74061">
      <w:pPr>
        <w:ind w:firstLine="0"/>
      </w:pPr>
      <w:r>
        <w:rPr>
          <w:rFonts w:ascii="宋体" w:hAnsi="宋体" w:eastAsia="宋体"/>
          <w:b/>
          <w:sz w:val="24"/>
        </w:rPr>
        <w:t>展示方案：</w:t>
      </w:r>
      <w:r>
        <w:rPr>
          <w:rFonts w:ascii="宋体" w:hAnsi="宋体" w:eastAsia="宋体"/>
          <w:sz w:val="24"/>
        </w:rPr>
        <w:t>大屏/汇报用的页面组合方案，可预览与推送展示。</w:t>
      </w:r>
    </w:p>
    <w:p w14:paraId="5F20DC4B">
      <w:pPr>
        <w:ind w:firstLine="0"/>
      </w:pPr>
      <w:r>
        <w:rPr>
          <w:rFonts w:ascii="宋体" w:hAnsi="宋体" w:eastAsia="宋体"/>
          <w:b/>
          <w:sz w:val="24"/>
        </w:rPr>
        <w:t>数据上报：</w:t>
      </w:r>
      <w:r>
        <w:rPr>
          <w:rFonts w:ascii="宋体" w:hAnsi="宋体" w:eastAsia="宋体"/>
          <w:sz w:val="24"/>
        </w:rPr>
        <w:t>将 KEY 或 TIMS 收支存等压缩包上传、解析并写入 STG，必要时手工触发 ADM 加工。</w:t>
      </w:r>
    </w:p>
    <w:p w14:paraId="67639611">
      <w:pPr>
        <w:ind w:firstLine="0"/>
      </w:pPr>
      <w:r>
        <w:rPr>
          <w:rFonts w:ascii="宋体" w:hAnsi="宋体" w:eastAsia="宋体"/>
          <w:b/>
          <w:sz w:val="24"/>
        </w:rPr>
        <w:t>动态刷数：</w:t>
      </w:r>
      <w:r>
        <w:rPr>
          <w:rFonts w:ascii="宋体" w:hAnsi="宋体" w:eastAsia="宋体"/>
          <w:sz w:val="24"/>
        </w:rPr>
        <w:t>对选定存储过程/任务按账期手工或任务方式刷新分析数据，并查看执行历史。</w:t>
      </w:r>
    </w:p>
    <w:p w14:paraId="24BF00DE">
      <w:pPr>
        <w:ind w:firstLine="0"/>
      </w:pPr>
      <w:r>
        <w:rPr>
          <w:rFonts w:ascii="宋体" w:hAnsi="宋体" w:eastAsia="宋体"/>
          <w:b/>
          <w:sz w:val="24"/>
        </w:rPr>
        <w:t>Vastbase：</w:t>
      </w:r>
      <w:r>
        <w:rPr>
          <w:rFonts w:ascii="宋体" w:hAnsi="宋体" w:eastAsia="宋体"/>
          <w:sz w:val="24"/>
        </w:rPr>
        <w:t>信创改造后的国产数据库（Vastbase G100）；原 MySQL 存储过程与查询已迁移适配。</w:t>
      </w:r>
    </w:p>
    <w:p w14:paraId="06D27AB9">
      <w:pPr>
        <w:pStyle w:val="4"/>
        <w:numPr>
          <w:ilvl w:val="0"/>
          <w:numId w:val="7"/>
        </w:numPr>
      </w:pPr>
      <w:bookmarkStart w:id="7" w:name="_Toc2045515052"/>
      <w:r>
        <w:rPr>
          <w:rFonts w:ascii="黑体" w:hAnsi="黑体" w:eastAsia="黑体"/>
          <w:b/>
          <w:sz w:val="32"/>
        </w:rPr>
        <w:t>登录与权限</w:t>
      </w:r>
      <w:bookmarkEnd w:id="7"/>
    </w:p>
    <w:p w14:paraId="3DA38D7E">
      <w:pPr>
        <w:spacing w:line="360" w:lineRule="auto"/>
        <w:ind w:firstLine="420"/>
        <w:jc w:val="both"/>
      </w:pPr>
      <w:r>
        <w:rPr>
          <w:rFonts w:ascii="宋体" w:hAnsi="宋体" w:eastAsia="宋体"/>
          <w:b/>
          <w:color w:val="C00000"/>
          <w:sz w:val="24"/>
        </w:rPr>
        <w:t>【变更】</w:t>
      </w:r>
      <w:r>
        <w:rPr>
          <w:rFonts w:ascii="宋体" w:hAnsi="宋体" w:eastAsia="宋体"/>
          <w:b w:val="0"/>
          <w:sz w:val="24"/>
        </w:rPr>
        <w:t>用户账号、角色与菜单授权已上收到「国库统一认证及门户支撑子系统」维护；本系统不再作为主入口进行角色新增、授权与本地密码体系管理。详细门户操作请参见《国库统一认证及门户支撑子系统用户手册》。</w:t>
      </w:r>
    </w:p>
    <w:p w14:paraId="1B2B0E57">
      <w:pPr>
        <w:pStyle w:val="5"/>
        <w:numPr>
          <w:ilvl w:val="1"/>
          <w:numId w:val="7"/>
        </w:numPr>
      </w:pPr>
      <w:bookmarkStart w:id="8" w:name="_Toc2053257788"/>
      <w:r>
        <w:rPr>
          <w:rFonts w:ascii="黑体" w:hAnsi="黑体" w:eastAsia="黑体"/>
          <w:b/>
          <w:sz w:val="28"/>
        </w:rPr>
        <w:t>访问方式总览</w:t>
      </w:r>
      <w:bookmarkEnd w:id="8"/>
    </w:p>
    <w:p w14:paraId="0C852B4A">
      <w:pPr>
        <w:spacing w:line="360" w:lineRule="auto"/>
        <w:ind w:firstLine="420"/>
        <w:jc w:val="both"/>
      </w:pPr>
      <w:r>
        <w:rPr>
          <w:rFonts w:ascii="宋体" w:hAnsi="宋体" w:eastAsia="宋体"/>
          <w:b/>
          <w:color w:val="C00000"/>
          <w:sz w:val="24"/>
        </w:rPr>
        <w:t>【变更】</w:t>
      </w:r>
      <w:r>
        <w:rPr>
          <w:rFonts w:ascii="宋体" w:hAnsi="宋体" w:eastAsia="宋体"/>
          <w:b w:val="0"/>
          <w:sz w:val="24"/>
        </w:rPr>
        <w:t>生产环境优先通过门户首页进入本系统（OAuth 单点登录）。本地登录入口仅用于运维或未接入门户的过渡场景，业务日常请使用门户登录。</w:t>
      </w:r>
    </w:p>
    <w:p w14:paraId="6F8B87D7">
      <w:pPr>
        <w:pStyle w:val="15"/>
      </w:pPr>
      <w:r>
        <w:rPr>
          <w:rFonts w:ascii="宋体" w:hAnsi="宋体" w:eastAsia="宋体"/>
          <w:b/>
          <w:color w:val="C00000"/>
          <w:sz w:val="24"/>
        </w:rPr>
        <w:t>【变更】</w:t>
      </w:r>
      <w:r>
        <w:rPr>
          <w:rFonts w:ascii="宋体" w:hAnsi="宋体" w:eastAsia="宋体"/>
          <w:sz w:val="24"/>
        </w:rPr>
        <w:t>门户登录：在统一认证平台完成认证后，于首页点击「国库大数据可视化平台」（或约定入口卡片）进入。</w:t>
      </w:r>
    </w:p>
    <w:p w14:paraId="36085D3A">
      <w:pPr>
        <w:pStyle w:val="15"/>
      </w:pPr>
      <w:r>
        <w:rPr>
          <w:rFonts w:ascii="宋体" w:hAnsi="宋体" w:eastAsia="宋体"/>
          <w:b/>
          <w:color w:val="C00000"/>
          <w:sz w:val="24"/>
        </w:rPr>
        <w:t>【变更】</w:t>
      </w:r>
      <w:r>
        <w:rPr>
          <w:rFonts w:ascii="宋体" w:hAnsi="宋体" w:eastAsia="宋体"/>
          <w:sz w:val="24"/>
        </w:rPr>
        <w:t>本地登录（保留）：浏览器直接访问本系统地址，输入本地用户名与密码登录（需本地已配置用户及国库归属）。</w:t>
      </w:r>
    </w:p>
    <w:p w14:paraId="1681A482">
      <w:pPr>
        <w:ind w:firstLine="0"/>
      </w:pPr>
      <w:r>
        <w:rPr>
          <w:rFonts w:ascii="宋体" w:hAnsi="宋体" w:eastAsia="宋体"/>
          <w:b/>
          <w:sz w:val="24"/>
        </w:rPr>
        <w:t>说明：</w:t>
      </w:r>
      <w:r>
        <w:rPr>
          <w:rFonts w:ascii="宋体" w:hAnsi="宋体" w:eastAsia="宋体"/>
          <w:sz w:val="24"/>
        </w:rPr>
        <w:t>原手册中的独立 IP（如 11.8.160.3:9090 / 11.8.161.17:8089）及默认密码 password1、系统内角色管理页面，已不作为主流程说明；以现场部署地址与门户权限配置为准。</w:t>
      </w:r>
    </w:p>
    <w:p w14:paraId="019B073D">
      <w:pPr>
        <w:pStyle w:val="5"/>
        <w:numPr>
          <w:ilvl w:val="1"/>
          <w:numId w:val="7"/>
        </w:numPr>
      </w:pPr>
      <w:bookmarkStart w:id="9" w:name="_Toc1188919273"/>
      <w:r>
        <w:rPr>
          <w:rFonts w:ascii="黑体" w:hAnsi="黑体" w:eastAsia="黑体"/>
          <w:b/>
          <w:sz w:val="28"/>
        </w:rPr>
        <w:t>门户登录（推荐）</w:t>
      </w:r>
      <w:bookmarkEnd w:id="9"/>
    </w:p>
    <w:p w14:paraId="12DE6D31">
      <w:pPr>
        <w:ind w:firstLine="0"/>
      </w:pPr>
      <w:r>
        <w:rPr>
          <w:rFonts w:ascii="宋体" w:hAnsi="宋体" w:eastAsia="宋体"/>
          <w:b/>
          <w:sz w:val="24"/>
        </w:rPr>
        <w:t>操作路径：</w:t>
      </w:r>
      <w:r>
        <w:rPr>
          <w:rFonts w:ascii="宋体" w:hAnsi="宋体" w:eastAsia="宋体"/>
          <w:sz w:val="24"/>
        </w:rPr>
        <w:t>统一认证平台登录页 → 认证成功 → 首页入口卡片 → 国库大数据可视化平台</w:t>
      </w:r>
    </w:p>
    <w:p w14:paraId="7E715405">
      <w:pPr>
        <w:pStyle w:val="6"/>
        <w:numPr>
          <w:ilvl w:val="2"/>
          <w:numId w:val="7"/>
        </w:numPr>
      </w:pPr>
      <w:bookmarkStart w:id="10" w:name="_Toc1978369623"/>
      <w:r>
        <w:rPr>
          <w:rFonts w:ascii="黑体" w:hAnsi="黑体" w:eastAsia="黑体"/>
          <w:b/>
          <w:sz w:val="24"/>
        </w:rPr>
        <w:t>基本步骤</w:t>
      </w:r>
      <w:bookmarkEnd w:id="10"/>
    </w:p>
    <w:p w14:paraId="5A66AC98">
      <w:pPr>
        <w:pStyle w:val="15"/>
      </w:pPr>
      <w:r>
        <w:rPr>
          <w:rFonts w:ascii="宋体" w:hAnsi="宋体" w:eastAsia="宋体"/>
          <w:b/>
          <w:color w:val="C00000"/>
          <w:sz w:val="24"/>
        </w:rPr>
        <w:t>【变更】</w:t>
      </w:r>
      <w:r>
        <w:rPr>
          <w:rFonts w:ascii="宋体" w:hAnsi="宋体" w:eastAsia="宋体"/>
          <w:sz w:val="24"/>
        </w:rPr>
        <w:t>打开统一认证平台登录页，按门户要求完成用户名、密码、验证码及双因子等安全校验。</w:t>
      </w:r>
    </w:p>
    <w:p w14:paraId="636EC64F">
      <w:pPr>
        <w:pStyle w:val="15"/>
      </w:pPr>
      <w:r>
        <w:rPr>
          <w:rFonts w:ascii="宋体" w:hAnsi="宋体" w:eastAsia="宋体"/>
          <w:b/>
          <w:color w:val="C00000"/>
          <w:sz w:val="24"/>
        </w:rPr>
        <w:t>【变更】</w:t>
      </w:r>
      <w:r>
        <w:rPr>
          <w:rFonts w:ascii="宋体" w:hAnsi="宋体" w:eastAsia="宋体"/>
          <w:sz w:val="24"/>
        </w:rPr>
        <w:t>进入门户首页后，点击本系统入口卡片，系统通过 OAuth 授权码完成免密跳转。</w:t>
      </w:r>
    </w:p>
    <w:p w14:paraId="4BD2BE56">
      <w:pPr>
        <w:pStyle w:val="15"/>
      </w:pPr>
      <w:r>
        <w:rPr>
          <w:rFonts w:ascii="宋体" w:hAnsi="宋体" w:eastAsia="宋体"/>
          <w:b/>
          <w:color w:val="C00000"/>
          <w:sz w:val="24"/>
        </w:rPr>
        <w:t>【变更】</w:t>
      </w:r>
      <w:r>
        <w:rPr>
          <w:rFonts w:ascii="宋体" w:hAnsi="宋体" w:eastAsia="宋体"/>
          <w:sz w:val="24"/>
        </w:rPr>
        <w:t>本系统根据门户身份建立会话，并按门户同步的权限节点生成侧栏菜单。</w:t>
      </w:r>
    </w:p>
    <w:p w14:paraId="57CE4FEC">
      <w:pPr>
        <w:pStyle w:val="15"/>
      </w:pPr>
      <w:r>
        <w:rPr>
          <w:rFonts w:ascii="宋体" w:hAnsi="宋体" w:eastAsia="宋体"/>
          <w:b/>
          <w:color w:val="C00000"/>
          <w:sz w:val="24"/>
        </w:rPr>
        <w:t>【变更】</w:t>
      </w:r>
      <w:r>
        <w:rPr>
          <w:rFonts w:ascii="宋体" w:hAnsi="宋体" w:eastAsia="宋体"/>
          <w:sz w:val="24"/>
        </w:rPr>
        <w:t>数据范围优先使用门户传入的核算主体（subject_code）映射本地国库维表；映射失败时无法确定业务数据范围。</w:t>
      </w:r>
    </w:p>
    <w:p w14:paraId="02771253">
      <w:pPr>
        <w:spacing w:line="360" w:lineRule="auto"/>
        <w:ind w:firstLine="420"/>
        <w:jc w:val="both"/>
      </w:pPr>
      <w:r>
        <w:rPr>
          <w:rFonts w:ascii="宋体" w:hAnsi="宋体" w:eastAsia="宋体"/>
          <w:b/>
          <w:color w:val="C00000"/>
          <w:sz w:val="24"/>
        </w:rPr>
        <w:t>【变更】</w:t>
      </w:r>
      <w:r>
        <w:rPr>
          <w:rFonts w:ascii="宋体" w:hAnsi="宋体" w:eastAsia="宋体"/>
          <w:b w:val="0"/>
          <w:sz w:val="24"/>
        </w:rPr>
        <w:t>门户用户可不在本系统本地 sys_user 中建档即可登录使用；权限与菜单以门户为准，不在本系统维护。</w:t>
      </w:r>
    </w:p>
    <w:p w14:paraId="6BA34638">
      <w:pPr>
        <w:pStyle w:val="5"/>
        <w:numPr>
          <w:ilvl w:val="1"/>
          <w:numId w:val="7"/>
        </w:numPr>
      </w:pPr>
      <w:bookmarkStart w:id="11" w:name="_Toc968947260"/>
      <w:r>
        <w:rPr>
          <w:rFonts w:ascii="黑体" w:hAnsi="黑体" w:eastAsia="黑体"/>
          <w:b/>
          <w:sz w:val="28"/>
        </w:rPr>
        <w:t>本地登录（过渡/运维）</w:t>
      </w:r>
      <w:bookmarkEnd w:id="11"/>
    </w:p>
    <w:p w14:paraId="3E48A953">
      <w:pPr>
        <w:ind w:firstLine="0"/>
      </w:pPr>
      <w:r>
        <w:rPr>
          <w:rFonts w:ascii="宋体" w:hAnsi="宋体" w:eastAsia="宋体"/>
          <w:b/>
          <w:sz w:val="24"/>
        </w:rPr>
        <w:t>操作路径：</w:t>
      </w:r>
      <w:r>
        <w:rPr>
          <w:rFonts w:ascii="宋体" w:hAnsi="宋体" w:eastAsia="宋体"/>
          <w:sz w:val="24"/>
        </w:rPr>
        <w:t>浏览器访问本系统登录页 → 输入用户名、密码 → 登录</w:t>
      </w:r>
    </w:p>
    <w:p w14:paraId="1C655085">
      <w:pPr>
        <w:spacing w:line="360" w:lineRule="auto"/>
        <w:ind w:firstLine="420"/>
        <w:jc w:val="both"/>
      </w:pPr>
      <w:r>
        <w:rPr>
          <w:rFonts w:ascii="宋体" w:hAnsi="宋体" w:eastAsia="宋体"/>
          <w:b/>
          <w:color w:val="C00000"/>
          <w:sz w:val="24"/>
        </w:rPr>
        <w:t>【变更】</w:t>
      </w:r>
      <w:r>
        <w:rPr>
          <w:rFonts w:ascii="宋体" w:hAnsi="宋体" w:eastAsia="宋体"/>
          <w:b w:val="0"/>
          <w:sz w:val="24"/>
        </w:rPr>
        <w:t>本地登录用户的数据范围取自本系统用户资料中的所属国库（guoku_id）；未配置所属国库时，涉及上报与按国库过滤的功能将无法确定数据范围。</w:t>
      </w:r>
    </w:p>
    <w:p w14:paraId="4FED9482">
      <w:pPr>
        <w:spacing w:line="360" w:lineRule="auto"/>
        <w:ind w:firstLine="420"/>
        <w:jc w:val="both"/>
      </w:pPr>
      <w:r>
        <w:rPr>
          <w:rFonts w:ascii="宋体" w:hAnsi="宋体" w:eastAsia="宋体"/>
          <w:b/>
          <w:color w:val="C00000"/>
          <w:sz w:val="24"/>
        </w:rPr>
        <w:t>【变更】</w:t>
      </w:r>
      <w:r>
        <w:rPr>
          <w:rFonts w:ascii="宋体" w:hAnsi="宋体" w:eastAsia="宋体"/>
          <w:b w:val="0"/>
          <w:sz w:val="24"/>
        </w:rPr>
        <w:t>本地修改密码、本地角色管理不再作为主流程。用户/角色/菜单授权请在门户支撑子系统中维护；密码策略、锁定、止用/注销等亦以门户为准。</w:t>
      </w:r>
    </w:p>
    <w:p w14:paraId="3ED592A2">
      <w:pPr>
        <w:pStyle w:val="5"/>
        <w:numPr>
          <w:ilvl w:val="1"/>
          <w:numId w:val="7"/>
        </w:numPr>
      </w:pPr>
      <w:bookmarkStart w:id="12" w:name="_Toc728103619"/>
      <w:r>
        <w:rPr>
          <w:rFonts w:ascii="黑体" w:hAnsi="黑体" w:eastAsia="黑体"/>
          <w:b/>
          <w:sz w:val="28"/>
        </w:rPr>
        <w:t>用户、角色与菜单维护</w:t>
      </w:r>
      <w:bookmarkEnd w:id="12"/>
    </w:p>
    <w:p w14:paraId="16CF1A9B">
      <w:pPr>
        <w:spacing w:line="360" w:lineRule="auto"/>
        <w:ind w:firstLine="420"/>
        <w:jc w:val="both"/>
      </w:pPr>
      <w:r>
        <w:rPr>
          <w:rFonts w:ascii="宋体" w:hAnsi="宋体" w:eastAsia="宋体"/>
          <w:b/>
          <w:color w:val="C00000"/>
          <w:sz w:val="24"/>
        </w:rPr>
        <w:t>【变更】</w:t>
      </w:r>
      <w:r>
        <w:rPr>
          <w:rFonts w:ascii="宋体" w:hAnsi="宋体" w:eastAsia="宋体"/>
          <w:b w:val="0"/>
          <w:sz w:val="24"/>
        </w:rPr>
        <w:t>原手册「角色管理」（本系统内新增角色、更多-授权勾选页面）已上收至门户支撑子系统。</w:t>
      </w:r>
    </w:p>
    <w:p w14:paraId="0063BB8C">
      <w:pPr>
        <w:jc w:val="center"/>
      </w:pPr>
    </w:p>
    <w:p w14:paraId="3340007E">
      <w:pPr>
        <w:pStyle w:val="17"/>
      </w:pPr>
      <w:r>
        <w:rPr>
          <w:rFonts w:ascii="宋体" w:hAnsi="宋体" w:eastAsia="宋体"/>
          <w:b/>
          <w:color w:val="C00000"/>
          <w:sz w:val="24"/>
        </w:rPr>
        <w:t>【变更】</w:t>
      </w:r>
      <w:r>
        <w:rPr>
          <w:rFonts w:ascii="宋体" w:hAnsi="宋体" w:eastAsia="宋体"/>
          <w:sz w:val="24"/>
        </w:rPr>
        <w:t>在门户支撑中维护本系统相关角色、权限节点及用户授权。</w:t>
      </w:r>
    </w:p>
    <w:p w14:paraId="07437A7A">
      <w:pPr>
        <w:pStyle w:val="17"/>
      </w:pPr>
      <w:r>
        <w:rPr>
          <w:rFonts w:ascii="宋体" w:hAnsi="宋体" w:eastAsia="宋体"/>
          <w:b/>
          <w:color w:val="C00000"/>
          <w:sz w:val="24"/>
        </w:rPr>
        <w:t>【变更】</w:t>
      </w:r>
      <w:r>
        <w:rPr>
          <w:rFonts w:ascii="宋体" w:hAnsi="宋体" w:eastAsia="宋体"/>
          <w:sz w:val="24"/>
        </w:rPr>
        <w:t>本系统侧栏仅展示当前账号在门户侧已授权的菜单。</w:t>
      </w:r>
    </w:p>
    <w:p w14:paraId="754C0A29">
      <w:pPr>
        <w:pStyle w:val="17"/>
      </w:pPr>
      <w:r>
        <w:rPr>
          <w:rFonts w:ascii="宋体" w:hAnsi="宋体" w:eastAsia="宋体"/>
          <w:sz w:val="24"/>
        </w:rPr>
        <w:t>综合查询下载等细粒度能力，仍通过角色/权限控制；未见下载按钮表示未授权。</w:t>
      </w:r>
    </w:p>
    <w:p w14:paraId="71FB6562">
      <w:pPr>
        <w:pStyle w:val="5"/>
        <w:numPr>
          <w:ilvl w:val="1"/>
          <w:numId w:val="7"/>
        </w:numPr>
      </w:pPr>
      <w:bookmarkStart w:id="13" w:name="_Toc875703927"/>
      <w:r>
        <w:rPr>
          <w:rFonts w:ascii="黑体" w:hAnsi="黑体" w:eastAsia="黑体"/>
          <w:b/>
          <w:sz w:val="28"/>
        </w:rPr>
        <w:t>顶栏菜单顺序</w:t>
      </w:r>
      <w:bookmarkEnd w:id="13"/>
    </w:p>
    <w:p w14:paraId="5DC819E8">
      <w:pPr>
        <w:spacing w:line="360" w:lineRule="auto"/>
        <w:ind w:firstLine="420"/>
        <w:jc w:val="both"/>
      </w:pPr>
      <w:r>
        <w:rPr>
          <w:rFonts w:ascii="宋体" w:hAnsi="宋体" w:eastAsia="宋体"/>
          <w:b/>
          <w:color w:val="C00000"/>
          <w:sz w:val="24"/>
        </w:rPr>
        <w:t>【变更】</w:t>
      </w:r>
      <w:r>
        <w:rPr>
          <w:rFonts w:ascii="宋体" w:hAnsi="宋体" w:eastAsia="宋体"/>
          <w:b w:val="0"/>
          <w:sz w:val="24"/>
        </w:rPr>
        <w:t>本地登录与门户登录场景下，顶栏/主导航菜单展示顺序已按统一约定对齐，避免两套入口菜单次序不一致。</w:t>
      </w:r>
    </w:p>
    <w:p w14:paraId="267648F1">
      <w:pPr>
        <w:pStyle w:val="5"/>
        <w:numPr>
          <w:ilvl w:val="1"/>
          <w:numId w:val="7"/>
        </w:numPr>
      </w:pPr>
      <w:bookmarkStart w:id="14" w:name="_Toc1250468198"/>
      <w:r>
        <w:rPr>
          <w:rFonts w:ascii="黑体" w:hAnsi="黑体" w:eastAsia="黑体"/>
          <w:b/>
          <w:sz w:val="28"/>
        </w:rPr>
        <w:t>数据权限与国库范围</w:t>
      </w:r>
      <w:bookmarkEnd w:id="14"/>
    </w:p>
    <w:p w14:paraId="454CDF9D">
      <w:pPr>
        <w:spacing w:line="360" w:lineRule="auto"/>
        <w:ind w:firstLine="420"/>
        <w:jc w:val="both"/>
      </w:pPr>
      <w:r>
        <w:rPr>
          <w:rFonts w:ascii="宋体" w:hAnsi="宋体" w:eastAsia="宋体"/>
          <w:sz w:val="24"/>
        </w:rPr>
        <w:t>设立对数据查看的权限，根据用户的所属国库，只支持查询本级和下级国库的数据。</w:t>
      </w:r>
    </w:p>
    <w:p w14:paraId="564D3E7B">
      <w:pPr>
        <w:spacing w:line="360" w:lineRule="auto"/>
        <w:ind w:firstLine="420"/>
        <w:jc w:val="both"/>
      </w:pPr>
      <w:r>
        <w:rPr>
          <w:rFonts w:ascii="宋体" w:hAnsi="宋体" w:eastAsia="宋体"/>
          <w:b/>
          <w:color w:val="C00000"/>
          <w:sz w:val="24"/>
        </w:rPr>
        <w:t>【变更】</w:t>
      </w:r>
      <w:r>
        <w:rPr>
          <w:rFonts w:ascii="宋体" w:hAnsi="宋体" w:eastAsia="宋体"/>
          <w:b w:val="0"/>
          <w:sz w:val="24"/>
        </w:rPr>
        <w:t>指标查询、数据上报等模块按用户身份动态叠加国库数据范围：门户登录优先核算主体映射；本地登录使用 guoku_id。</w:t>
      </w:r>
    </w:p>
    <w:p w14:paraId="7136A930">
      <w:pPr>
        <w:spacing w:line="360" w:lineRule="auto"/>
        <w:ind w:firstLine="420"/>
        <w:jc w:val="both"/>
      </w:pPr>
      <w:r>
        <w:rPr>
          <w:rFonts w:ascii="宋体" w:hAnsi="宋体" w:eastAsia="宋体"/>
          <w:b/>
          <w:color w:val="C00000"/>
          <w:sz w:val="24"/>
        </w:rPr>
        <w:t>【变更】</w:t>
      </w:r>
      <w:r>
        <w:rPr>
          <w:rFonts w:ascii="宋体" w:hAnsi="宋体" w:eastAsia="宋体"/>
          <w:b w:val="0"/>
          <w:sz w:val="24"/>
        </w:rPr>
        <w:t>上报模块对门户/本地双路径解析国库范围，防止门户用户误用本地空国库配置。</w:t>
      </w:r>
    </w:p>
    <w:p w14:paraId="7F45BAA1">
      <w:pPr>
        <w:pStyle w:val="4"/>
        <w:numPr>
          <w:ilvl w:val="0"/>
          <w:numId w:val="7"/>
        </w:numPr>
      </w:pPr>
      <w:bookmarkStart w:id="15" w:name="_Toc1344034244"/>
      <w:r>
        <w:rPr>
          <w:rFonts w:ascii="黑体" w:hAnsi="黑体" w:eastAsia="黑体"/>
          <w:b/>
          <w:sz w:val="32"/>
        </w:rPr>
        <w:t>系统功能总览</w:t>
      </w:r>
      <w:bookmarkEnd w:id="15"/>
    </w:p>
    <w:p w14:paraId="50B22FEB">
      <w:pPr>
        <w:spacing w:line="360" w:lineRule="auto"/>
        <w:ind w:firstLine="420"/>
        <w:jc w:val="both"/>
      </w:pPr>
      <w:r>
        <w:rPr>
          <w:rFonts w:ascii="宋体" w:hAnsi="宋体" w:eastAsia="宋体"/>
          <w:sz w:val="24"/>
        </w:rPr>
        <w:t>登录成功后，进入系统主界面。左侧为功能菜单，右侧为业务工作区。菜单是否可见取决于门户（或本地）授权。</w:t>
      </w:r>
    </w:p>
    <w:p w14:paraId="36AD888B">
      <w:pPr>
        <w:jc w:val="center"/>
      </w:pPr>
      <w:r>
        <w:drawing>
          <wp:inline distT="0" distB="0" distL="114300" distR="114300">
            <wp:extent cx="5219700" cy="2936240"/>
            <wp:effectExtent l="0" t="0" r="1270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220000" cy="2936250"/>
                    </a:xfrm>
                    <a:prstGeom prst="rect">
                      <a:avLst/>
                    </a:prstGeom>
                  </pic:spPr>
                </pic:pic>
              </a:graphicData>
            </a:graphic>
          </wp:inline>
        </w:drawing>
      </w:r>
    </w:p>
    <w:p w14:paraId="12842990">
      <w:pPr>
        <w:jc w:val="center"/>
      </w:pPr>
      <w:r>
        <w:rPr>
          <w:rFonts w:ascii="宋体" w:hAnsi="宋体" w:eastAsia="宋体"/>
          <w:b w:val="0"/>
          <w:sz w:val="21"/>
        </w:rPr>
        <w:t>图 系统主界面（大数据可视化）示例</w:t>
      </w:r>
    </w:p>
    <w:p w14:paraId="27CECC19">
      <w:pPr>
        <w:spacing w:line="360" w:lineRule="auto"/>
        <w:ind w:firstLine="420"/>
        <w:jc w:val="both"/>
      </w:pPr>
      <w:r>
        <w:rPr>
          <w:rFonts w:ascii="宋体" w:hAnsi="宋体" w:eastAsia="宋体"/>
          <w:b/>
          <w:color w:val="C00000"/>
          <w:sz w:val="24"/>
        </w:rPr>
        <w:t>【变更】</w:t>
      </w:r>
      <w:r>
        <w:rPr>
          <w:rFonts w:ascii="宋体" w:hAnsi="宋体" w:eastAsia="宋体"/>
          <w:b w:val="0"/>
          <w:sz w:val="24"/>
        </w:rPr>
        <w:t>主界面已整合原可视化与三期分析相关菜单；数据上报、动态刷数等为信创改造后补充的能力入口。</w:t>
      </w:r>
    </w:p>
    <w:p w14:paraId="0E17800B">
      <w:pPr>
        <w:pStyle w:val="4"/>
        <w:numPr>
          <w:ilvl w:val="0"/>
          <w:numId w:val="7"/>
        </w:numPr>
      </w:pPr>
      <w:bookmarkStart w:id="16" w:name="_Toc1950539762"/>
      <w:r>
        <w:rPr>
          <w:rFonts w:ascii="黑体" w:hAnsi="黑体" w:eastAsia="黑体"/>
          <w:b/>
          <w:sz w:val="32"/>
        </w:rPr>
        <w:t>大数据可视化</w:t>
      </w:r>
      <w:bookmarkEnd w:id="16"/>
    </w:p>
    <w:p w14:paraId="7E4E03AA">
      <w:pPr>
        <w:spacing w:line="360" w:lineRule="auto"/>
        <w:ind w:firstLine="420"/>
        <w:jc w:val="both"/>
      </w:pPr>
      <w:r>
        <w:rPr>
          <w:rFonts w:ascii="宋体" w:hAnsi="宋体" w:eastAsia="宋体"/>
          <w:sz w:val="24"/>
        </w:rPr>
        <w:t>本章对应原《国库大数据可视化平台》用户操作手册中的可视化编排能力，并补充展示方案、图库等现场界面说明。</w:t>
      </w:r>
    </w:p>
    <w:p w14:paraId="19C1AEBA">
      <w:pPr>
        <w:pStyle w:val="5"/>
        <w:numPr>
          <w:ilvl w:val="1"/>
          <w:numId w:val="7"/>
        </w:numPr>
      </w:pPr>
      <w:bookmarkStart w:id="17" w:name="_Toc1383908479"/>
      <w:r>
        <w:rPr>
          <w:rFonts w:ascii="黑体" w:hAnsi="黑体" w:eastAsia="黑体"/>
          <w:b/>
          <w:sz w:val="28"/>
        </w:rPr>
        <w:t>图库</w:t>
      </w:r>
      <w:bookmarkEnd w:id="17"/>
    </w:p>
    <w:p w14:paraId="605712E0">
      <w:pPr>
        <w:ind w:firstLine="0"/>
      </w:pPr>
      <w:r>
        <w:rPr>
          <w:rFonts w:ascii="宋体" w:hAnsi="宋体" w:eastAsia="宋体"/>
          <w:b/>
          <w:sz w:val="24"/>
        </w:rPr>
        <w:t>操作路径：</w:t>
      </w:r>
      <w:r>
        <w:rPr>
          <w:rFonts w:ascii="宋体" w:hAnsi="宋体" w:eastAsia="宋体"/>
          <w:sz w:val="24"/>
        </w:rPr>
        <w:t>大数据可视化 → 图库</w:t>
      </w:r>
    </w:p>
    <w:p w14:paraId="1E508CA0">
      <w:pPr>
        <w:spacing w:line="360" w:lineRule="auto"/>
        <w:ind w:firstLine="420"/>
        <w:jc w:val="both"/>
      </w:pPr>
      <w:r>
        <w:rPr>
          <w:rFonts w:ascii="宋体" w:hAnsi="宋体" w:eastAsia="宋体"/>
          <w:sz w:val="24"/>
        </w:rPr>
        <w:t>图库用于集中管理指标库转图结果及可复用的图表素材，供页面管理、展示方案引用。</w:t>
      </w:r>
    </w:p>
    <w:p w14:paraId="46413C05">
      <w:pPr>
        <w:jc w:val="center"/>
      </w:pPr>
      <w:r>
        <w:drawing>
          <wp:inline distT="0" distB="0" distL="114300" distR="114300">
            <wp:extent cx="5219700" cy="2936240"/>
            <wp:effectExtent l="0" t="0" r="1270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220000" cy="2936250"/>
                    </a:xfrm>
                    <a:prstGeom prst="rect">
                      <a:avLst/>
                    </a:prstGeom>
                  </pic:spPr>
                </pic:pic>
              </a:graphicData>
            </a:graphic>
          </wp:inline>
        </w:drawing>
      </w:r>
    </w:p>
    <w:p w14:paraId="5EF7A60C">
      <w:pPr>
        <w:jc w:val="center"/>
      </w:pPr>
      <w:r>
        <w:rPr>
          <w:rFonts w:ascii="宋体" w:hAnsi="宋体" w:eastAsia="宋体"/>
          <w:b w:val="0"/>
          <w:sz w:val="21"/>
        </w:rPr>
        <w:t>图 图库</w:t>
      </w:r>
    </w:p>
    <w:p w14:paraId="53885575">
      <w:pPr>
        <w:spacing w:line="360" w:lineRule="auto"/>
        <w:ind w:firstLine="420"/>
        <w:jc w:val="both"/>
      </w:pPr>
      <w:r>
        <w:rPr>
          <w:rFonts w:ascii="宋体" w:hAnsi="宋体" w:eastAsia="宋体"/>
          <w:b/>
          <w:color w:val="C00000"/>
          <w:sz w:val="24"/>
        </w:rPr>
        <w:t>【变更】</w:t>
      </w:r>
      <w:r>
        <w:rPr>
          <w:rFonts w:ascii="宋体" w:hAnsi="宋体" w:eastAsia="宋体"/>
          <w:b w:val="0"/>
          <w:sz w:val="24"/>
        </w:rPr>
        <w:t>图库列表与生产环境字段/契约对齐，支持在 Vastbase 环境下正常查询与引用。</w:t>
      </w:r>
    </w:p>
    <w:p w14:paraId="6841F9FC">
      <w:pPr>
        <w:pStyle w:val="5"/>
        <w:numPr>
          <w:ilvl w:val="1"/>
          <w:numId w:val="7"/>
        </w:numPr>
      </w:pPr>
      <w:bookmarkStart w:id="18" w:name="_Toc2101909543"/>
      <w:r>
        <w:rPr>
          <w:rFonts w:ascii="黑体" w:hAnsi="黑体" w:eastAsia="黑体"/>
          <w:b/>
          <w:sz w:val="28"/>
        </w:rPr>
        <w:t>模板管理</w:t>
      </w:r>
      <w:bookmarkEnd w:id="18"/>
    </w:p>
    <w:p w14:paraId="4BCC98BA">
      <w:pPr>
        <w:ind w:firstLine="0"/>
      </w:pPr>
      <w:r>
        <w:rPr>
          <w:rFonts w:ascii="宋体" w:hAnsi="宋体" w:eastAsia="宋体"/>
          <w:b/>
          <w:sz w:val="24"/>
        </w:rPr>
        <w:t>操作路径：</w:t>
      </w:r>
      <w:r>
        <w:rPr>
          <w:rFonts w:ascii="宋体" w:hAnsi="宋体" w:eastAsia="宋体"/>
          <w:sz w:val="24"/>
        </w:rPr>
        <w:t>大数据可视化 → 模板管理</w:t>
      </w:r>
    </w:p>
    <w:p w14:paraId="42FF19C4">
      <w:pPr>
        <w:spacing w:line="360" w:lineRule="auto"/>
        <w:ind w:firstLine="420"/>
        <w:jc w:val="both"/>
      </w:pPr>
      <w:r>
        <w:rPr>
          <w:rFonts w:ascii="宋体" w:hAnsi="宋体" w:eastAsia="宋体"/>
          <w:sz w:val="24"/>
        </w:rPr>
        <w:t>模板管理用于维护大屏/页面可用的布局模板，便于快速套用统一版式。</w:t>
      </w:r>
    </w:p>
    <w:p w14:paraId="3CF409F7">
      <w:pPr>
        <w:jc w:val="center"/>
      </w:pPr>
      <w:r>
        <w:drawing>
          <wp:inline distT="0" distB="0" distL="114300" distR="114300">
            <wp:extent cx="5219700" cy="2936240"/>
            <wp:effectExtent l="0" t="0" r="12700"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220000" cy="2936250"/>
                    </a:xfrm>
                    <a:prstGeom prst="rect">
                      <a:avLst/>
                    </a:prstGeom>
                  </pic:spPr>
                </pic:pic>
              </a:graphicData>
            </a:graphic>
          </wp:inline>
        </w:drawing>
      </w:r>
    </w:p>
    <w:p w14:paraId="3410E1EA">
      <w:pPr>
        <w:jc w:val="center"/>
      </w:pPr>
      <w:r>
        <w:rPr>
          <w:rFonts w:ascii="宋体" w:hAnsi="宋体" w:eastAsia="宋体"/>
          <w:b w:val="0"/>
          <w:sz w:val="21"/>
        </w:rPr>
        <w:t>图 模板管理</w:t>
      </w:r>
    </w:p>
    <w:p w14:paraId="4039DCB8">
      <w:pPr>
        <w:pStyle w:val="5"/>
        <w:numPr>
          <w:ilvl w:val="1"/>
          <w:numId w:val="7"/>
        </w:numPr>
      </w:pPr>
      <w:bookmarkStart w:id="19" w:name="_Toc687696051"/>
      <w:r>
        <w:rPr>
          <w:rFonts w:ascii="黑体" w:hAnsi="黑体" w:eastAsia="黑体"/>
          <w:b/>
          <w:sz w:val="28"/>
        </w:rPr>
        <w:t>页面管理</w:t>
      </w:r>
      <w:bookmarkEnd w:id="19"/>
    </w:p>
    <w:p w14:paraId="49703BBC">
      <w:pPr>
        <w:ind w:firstLine="0"/>
      </w:pPr>
      <w:r>
        <w:rPr>
          <w:rFonts w:ascii="宋体" w:hAnsi="宋体" w:eastAsia="宋体"/>
          <w:b/>
          <w:sz w:val="24"/>
        </w:rPr>
        <w:t>操作路径：</w:t>
      </w:r>
      <w:r>
        <w:rPr>
          <w:rFonts w:ascii="宋体" w:hAnsi="宋体" w:eastAsia="宋体"/>
          <w:sz w:val="24"/>
        </w:rPr>
        <w:t>大数据可视化 → 页面管理</w:t>
      </w:r>
    </w:p>
    <w:p w14:paraId="2E8D0E9F">
      <w:pPr>
        <w:spacing w:line="360" w:lineRule="auto"/>
        <w:ind w:firstLine="420"/>
        <w:jc w:val="both"/>
      </w:pPr>
      <w:r>
        <w:rPr>
          <w:rFonts w:ascii="宋体" w:hAnsi="宋体" w:eastAsia="宋体"/>
          <w:sz w:val="24"/>
        </w:rPr>
        <w:t>页面管理用于编排汇报/大屏页面。双击进入模块设置页面，支持选择图片、视频和指标库转图类型。</w:t>
      </w:r>
    </w:p>
    <w:p w14:paraId="5A533FC8">
      <w:pPr>
        <w:jc w:val="center"/>
      </w:pPr>
      <w:r>
        <w:drawing>
          <wp:inline distT="0" distB="0" distL="114300" distR="114300">
            <wp:extent cx="5039995" cy="2226310"/>
            <wp:effectExtent l="0" t="0" r="14605" b="889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10"/>
                    <a:stretch>
                      <a:fillRect/>
                    </a:stretch>
                  </pic:blipFill>
                  <pic:spPr>
                    <a:xfrm>
                      <a:off x="0" y="0"/>
                      <a:ext cx="5040000" cy="2226814"/>
                    </a:xfrm>
                    <a:prstGeom prst="rect">
                      <a:avLst/>
                    </a:prstGeom>
                  </pic:spPr>
                </pic:pic>
              </a:graphicData>
            </a:graphic>
          </wp:inline>
        </w:drawing>
      </w:r>
    </w:p>
    <w:p w14:paraId="18596451">
      <w:pPr>
        <w:jc w:val="center"/>
      </w:pPr>
      <w:r>
        <w:rPr>
          <w:rFonts w:ascii="宋体" w:hAnsi="宋体" w:eastAsia="宋体"/>
          <w:b w:val="0"/>
          <w:sz w:val="21"/>
        </w:rPr>
        <w:t>图 页面模块设置-业务类型可选图片/视频/指标库模型</w:t>
      </w:r>
    </w:p>
    <w:p w14:paraId="71AAA3D0">
      <w:pPr>
        <w:jc w:val="center"/>
      </w:pPr>
      <w:r>
        <w:drawing>
          <wp:inline distT="0" distB="0" distL="114300" distR="114300">
            <wp:extent cx="5219700" cy="2936240"/>
            <wp:effectExtent l="0" t="0" r="12700"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220000" cy="2936250"/>
                    </a:xfrm>
                    <a:prstGeom prst="rect">
                      <a:avLst/>
                    </a:prstGeom>
                  </pic:spPr>
                </pic:pic>
              </a:graphicData>
            </a:graphic>
          </wp:inline>
        </w:drawing>
      </w:r>
    </w:p>
    <w:p w14:paraId="4BE101DD">
      <w:pPr>
        <w:jc w:val="center"/>
      </w:pPr>
      <w:r>
        <w:rPr>
          <w:rFonts w:ascii="宋体" w:hAnsi="宋体" w:eastAsia="宋体"/>
          <w:b w:val="0"/>
          <w:sz w:val="21"/>
        </w:rPr>
        <w:t>图 页面管理</w:t>
      </w:r>
    </w:p>
    <w:p w14:paraId="5204C949">
      <w:pPr>
        <w:spacing w:line="360" w:lineRule="auto"/>
        <w:ind w:firstLine="420"/>
        <w:jc w:val="both"/>
      </w:pPr>
      <w:r>
        <w:rPr>
          <w:rFonts w:ascii="宋体" w:hAnsi="宋体" w:eastAsia="宋体"/>
          <w:sz w:val="24"/>
        </w:rPr>
        <w:t>图片和视频，支持修改文本标题功能；指标库转图支持修改文本标题和修改指标时间周期或者至今条件。</w:t>
      </w:r>
    </w:p>
    <w:p w14:paraId="1AE06718">
      <w:pPr>
        <w:pStyle w:val="6"/>
        <w:numPr>
          <w:ilvl w:val="2"/>
          <w:numId w:val="7"/>
        </w:numPr>
      </w:pPr>
      <w:bookmarkStart w:id="20" w:name="_Toc350541003"/>
      <w:r>
        <w:rPr>
          <w:rFonts w:ascii="黑体" w:hAnsi="黑体" w:eastAsia="黑体"/>
          <w:b/>
          <w:sz w:val="24"/>
        </w:rPr>
        <w:t>截图</w:t>
      </w:r>
      <w:bookmarkEnd w:id="20"/>
    </w:p>
    <w:p w14:paraId="0E1BE728">
      <w:pPr>
        <w:spacing w:line="360" w:lineRule="auto"/>
        <w:ind w:firstLine="420"/>
        <w:jc w:val="both"/>
      </w:pPr>
      <w:r>
        <w:rPr>
          <w:rFonts w:ascii="宋体" w:hAnsi="宋体" w:eastAsia="宋体"/>
          <w:sz w:val="24"/>
        </w:rPr>
        <w:t>模块选择图片时，可点击【截图】按钮，按照当前选择模块比率大小截取对应图片，支持放大缩小图片功能。</w:t>
      </w:r>
    </w:p>
    <w:p w14:paraId="4E0BFCF8">
      <w:pPr>
        <w:jc w:val="center"/>
      </w:pPr>
      <w:r>
        <w:drawing>
          <wp:inline distT="0" distB="0" distL="114300" distR="114300">
            <wp:extent cx="5039995" cy="2682240"/>
            <wp:effectExtent l="0" t="0" r="14605" b="1016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12"/>
                    <a:stretch>
                      <a:fillRect/>
                    </a:stretch>
                  </pic:blipFill>
                  <pic:spPr>
                    <a:xfrm>
                      <a:off x="0" y="0"/>
                      <a:ext cx="5040000" cy="2682799"/>
                    </a:xfrm>
                    <a:prstGeom prst="rect">
                      <a:avLst/>
                    </a:prstGeom>
                  </pic:spPr>
                </pic:pic>
              </a:graphicData>
            </a:graphic>
          </wp:inline>
        </w:drawing>
      </w:r>
    </w:p>
    <w:p w14:paraId="6F05BD93">
      <w:pPr>
        <w:jc w:val="center"/>
      </w:pPr>
      <w:r>
        <w:rPr>
          <w:rFonts w:ascii="宋体" w:hAnsi="宋体" w:eastAsia="宋体"/>
          <w:b w:val="0"/>
          <w:sz w:val="21"/>
        </w:rPr>
        <w:t>图 模块设置（图片）与截图按钮</w:t>
      </w:r>
    </w:p>
    <w:p w14:paraId="16C471F7">
      <w:pPr>
        <w:jc w:val="center"/>
      </w:pPr>
      <w:r>
        <w:drawing>
          <wp:inline distT="0" distB="0" distL="114300" distR="114300">
            <wp:extent cx="5039995" cy="2747645"/>
            <wp:effectExtent l="0" t="0" r="14605" b="2095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13"/>
                    <a:stretch>
                      <a:fillRect/>
                    </a:stretch>
                  </pic:blipFill>
                  <pic:spPr>
                    <a:xfrm>
                      <a:off x="0" y="0"/>
                      <a:ext cx="5040000" cy="2748148"/>
                    </a:xfrm>
                    <a:prstGeom prst="rect">
                      <a:avLst/>
                    </a:prstGeom>
                  </pic:spPr>
                </pic:pic>
              </a:graphicData>
            </a:graphic>
          </wp:inline>
        </w:drawing>
      </w:r>
    </w:p>
    <w:p w14:paraId="48B30A69">
      <w:pPr>
        <w:jc w:val="center"/>
      </w:pPr>
      <w:r>
        <w:rPr>
          <w:rFonts w:ascii="宋体" w:hAnsi="宋体" w:eastAsia="宋体"/>
          <w:b w:val="0"/>
          <w:sz w:val="21"/>
        </w:rPr>
        <w:t>图 截图/裁剪界面</w:t>
      </w:r>
    </w:p>
    <w:p w14:paraId="48890D66">
      <w:pPr>
        <w:spacing w:line="360" w:lineRule="auto"/>
        <w:ind w:firstLine="420"/>
        <w:jc w:val="both"/>
      </w:pPr>
      <w:r>
        <w:rPr>
          <w:rFonts w:ascii="宋体" w:hAnsi="宋体" w:eastAsia="宋体"/>
          <w:b/>
          <w:color w:val="C00000"/>
          <w:sz w:val="24"/>
        </w:rPr>
        <w:t>【变更】</w:t>
      </w:r>
      <w:r>
        <w:rPr>
          <w:rFonts w:ascii="宋体" w:hAnsi="宋体" w:eastAsia="宋体"/>
          <w:b w:val="0"/>
          <w:sz w:val="24"/>
        </w:rPr>
        <w:t>大屏查询字段大小写、区域预算收入地图、手势/键盘交互等已按信创库与现场行为修复，保证页面预览与展示稳定。</w:t>
      </w:r>
    </w:p>
    <w:p w14:paraId="4DEF34E2">
      <w:pPr>
        <w:pStyle w:val="5"/>
        <w:numPr>
          <w:ilvl w:val="1"/>
          <w:numId w:val="7"/>
        </w:numPr>
      </w:pPr>
      <w:bookmarkStart w:id="21" w:name="_Toc994993700"/>
      <w:r>
        <w:rPr>
          <w:rFonts w:ascii="黑体" w:hAnsi="黑体" w:eastAsia="黑体"/>
          <w:b/>
          <w:sz w:val="28"/>
        </w:rPr>
        <w:t>展示方案管理</w:t>
      </w:r>
      <w:bookmarkEnd w:id="21"/>
    </w:p>
    <w:p w14:paraId="6285C063">
      <w:pPr>
        <w:ind w:firstLine="0"/>
      </w:pPr>
      <w:r>
        <w:rPr>
          <w:rFonts w:ascii="宋体" w:hAnsi="宋体" w:eastAsia="宋体"/>
          <w:b/>
          <w:sz w:val="24"/>
        </w:rPr>
        <w:t>操作路径：</w:t>
      </w:r>
      <w:r>
        <w:rPr>
          <w:rFonts w:ascii="宋体" w:hAnsi="宋体" w:eastAsia="宋体"/>
          <w:sz w:val="24"/>
        </w:rPr>
        <w:t>大数据可视化 → 展示方案管理</w:t>
      </w:r>
    </w:p>
    <w:p w14:paraId="332504F1">
      <w:pPr>
        <w:spacing w:line="360" w:lineRule="auto"/>
        <w:ind w:firstLine="420"/>
        <w:jc w:val="both"/>
      </w:pPr>
      <w:r>
        <w:rPr>
          <w:rFonts w:ascii="宋体" w:hAnsi="宋体" w:eastAsia="宋体"/>
          <w:b/>
          <w:color w:val="C00000"/>
          <w:sz w:val="24"/>
        </w:rPr>
        <w:t>【变更】</w:t>
      </w:r>
      <w:r>
        <w:rPr>
          <w:rFonts w:ascii="宋体" w:hAnsi="宋体" w:eastAsia="宋体"/>
          <w:b w:val="0"/>
          <w:sz w:val="24"/>
        </w:rPr>
        <w:t>展示方案管理用于组合多个页面形成完整展示方案，支持维护与预览。</w:t>
      </w:r>
    </w:p>
    <w:p w14:paraId="4D69798F">
      <w:pPr>
        <w:jc w:val="center"/>
      </w:pPr>
      <w:r>
        <w:drawing>
          <wp:inline distT="0" distB="0" distL="114300" distR="114300">
            <wp:extent cx="5219700" cy="2936240"/>
            <wp:effectExtent l="0" t="0" r="12700" b="101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4"/>
                    <a:stretch>
                      <a:fillRect/>
                    </a:stretch>
                  </pic:blipFill>
                  <pic:spPr>
                    <a:xfrm>
                      <a:off x="0" y="0"/>
                      <a:ext cx="5220000" cy="2936250"/>
                    </a:xfrm>
                    <a:prstGeom prst="rect">
                      <a:avLst/>
                    </a:prstGeom>
                  </pic:spPr>
                </pic:pic>
              </a:graphicData>
            </a:graphic>
          </wp:inline>
        </w:drawing>
      </w:r>
    </w:p>
    <w:p w14:paraId="46F69D0D">
      <w:pPr>
        <w:jc w:val="center"/>
      </w:pPr>
      <w:r>
        <w:rPr>
          <w:rFonts w:ascii="宋体" w:hAnsi="宋体" w:eastAsia="宋体"/>
          <w:b w:val="0"/>
          <w:sz w:val="21"/>
        </w:rPr>
        <w:t>图 展示方案管理</w:t>
      </w:r>
    </w:p>
    <w:p w14:paraId="060D2F47">
      <w:pPr>
        <w:pStyle w:val="6"/>
        <w:numPr>
          <w:ilvl w:val="2"/>
          <w:numId w:val="7"/>
        </w:numPr>
      </w:pPr>
      <w:bookmarkStart w:id="22" w:name="_Toc403956711"/>
      <w:r>
        <w:rPr>
          <w:rFonts w:ascii="黑体" w:hAnsi="黑体" w:eastAsia="黑体"/>
          <w:b/>
          <w:sz w:val="24"/>
        </w:rPr>
        <w:t>预览</w:t>
      </w:r>
      <w:bookmarkEnd w:id="22"/>
    </w:p>
    <w:p w14:paraId="0C2814F8">
      <w:pPr>
        <w:spacing w:line="360" w:lineRule="auto"/>
        <w:ind w:firstLine="420"/>
        <w:jc w:val="both"/>
      </w:pPr>
      <w:r>
        <w:rPr>
          <w:rFonts w:ascii="宋体" w:hAnsi="宋体" w:eastAsia="宋体"/>
          <w:sz w:val="24"/>
        </w:rPr>
        <w:t>在展示方案中可进入预览，按编排顺序查看大屏展示效果。</w:t>
      </w:r>
    </w:p>
    <w:p w14:paraId="3F76E36D">
      <w:pPr>
        <w:jc w:val="center"/>
      </w:pPr>
      <w:r>
        <w:drawing>
          <wp:inline distT="0" distB="0" distL="114300" distR="114300">
            <wp:extent cx="5219700" cy="2936240"/>
            <wp:effectExtent l="0" t="0" r="12700" b="101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5"/>
                    <a:stretch>
                      <a:fillRect/>
                    </a:stretch>
                  </pic:blipFill>
                  <pic:spPr>
                    <a:xfrm>
                      <a:off x="0" y="0"/>
                      <a:ext cx="5220000" cy="2936250"/>
                    </a:xfrm>
                    <a:prstGeom prst="rect">
                      <a:avLst/>
                    </a:prstGeom>
                  </pic:spPr>
                </pic:pic>
              </a:graphicData>
            </a:graphic>
          </wp:inline>
        </w:drawing>
      </w:r>
    </w:p>
    <w:p w14:paraId="3D1AB61E">
      <w:pPr>
        <w:jc w:val="center"/>
      </w:pPr>
      <w:r>
        <w:rPr>
          <w:rFonts w:ascii="宋体" w:hAnsi="宋体" w:eastAsia="宋体"/>
          <w:b w:val="0"/>
          <w:sz w:val="21"/>
        </w:rPr>
        <w:t>图 展示方案预览</w:t>
      </w:r>
    </w:p>
    <w:p w14:paraId="63764EB1">
      <w:pPr>
        <w:pStyle w:val="5"/>
        <w:numPr>
          <w:ilvl w:val="1"/>
          <w:numId w:val="7"/>
        </w:numPr>
      </w:pPr>
      <w:bookmarkStart w:id="23" w:name="_Toc1104633610"/>
      <w:r>
        <w:rPr>
          <w:rFonts w:ascii="黑体" w:hAnsi="黑体" w:eastAsia="黑体"/>
          <w:b/>
          <w:sz w:val="28"/>
        </w:rPr>
        <w:t>方案推送</w:t>
      </w:r>
      <w:bookmarkEnd w:id="23"/>
    </w:p>
    <w:p w14:paraId="633553F4">
      <w:pPr>
        <w:spacing w:line="360" w:lineRule="auto"/>
        <w:ind w:firstLine="420"/>
        <w:jc w:val="both"/>
      </w:pPr>
      <w:r>
        <w:rPr>
          <w:rFonts w:ascii="宋体" w:hAnsi="宋体" w:eastAsia="宋体"/>
          <w:sz w:val="24"/>
        </w:rPr>
        <w:t>方案推送用于将指标库已保存方案推送给可视化系统，可以重复推送，重复推送会覆盖历史方案。</w:t>
      </w:r>
    </w:p>
    <w:p w14:paraId="54BDF9AF">
      <w:pPr>
        <w:jc w:val="center"/>
      </w:pPr>
      <w:r>
        <w:drawing>
          <wp:inline distT="0" distB="0" distL="114300" distR="114300">
            <wp:extent cx="5039995" cy="1661160"/>
            <wp:effectExtent l="0" t="0" r="14605" b="152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16"/>
                    <a:stretch>
                      <a:fillRect/>
                    </a:stretch>
                  </pic:blipFill>
                  <pic:spPr>
                    <a:xfrm>
                      <a:off x="0" y="0"/>
                      <a:ext cx="5040000" cy="1661447"/>
                    </a:xfrm>
                    <a:prstGeom prst="rect">
                      <a:avLst/>
                    </a:prstGeom>
                  </pic:spPr>
                </pic:pic>
              </a:graphicData>
            </a:graphic>
          </wp:inline>
        </w:drawing>
      </w:r>
    </w:p>
    <w:p w14:paraId="533BBB4C">
      <w:pPr>
        <w:jc w:val="center"/>
      </w:pPr>
      <w:r>
        <w:rPr>
          <w:rFonts w:ascii="宋体" w:hAnsi="宋体" w:eastAsia="宋体"/>
          <w:b w:val="0"/>
          <w:sz w:val="21"/>
        </w:rPr>
        <w:t>图 指标查询方案「推送至微库/可视化」（方案推送）</w:t>
      </w:r>
    </w:p>
    <w:p w14:paraId="06924C75">
      <w:pPr>
        <w:pStyle w:val="5"/>
        <w:numPr>
          <w:ilvl w:val="1"/>
          <w:numId w:val="7"/>
        </w:numPr>
      </w:pPr>
      <w:bookmarkStart w:id="24" w:name="_Toc580954955"/>
      <w:r>
        <w:rPr>
          <w:rFonts w:ascii="黑体" w:hAnsi="黑体" w:eastAsia="黑体"/>
          <w:b/>
          <w:sz w:val="28"/>
        </w:rPr>
        <w:t>指标库方案</w:t>
      </w:r>
      <w:bookmarkEnd w:id="24"/>
    </w:p>
    <w:p w14:paraId="726CABB5">
      <w:pPr>
        <w:ind w:firstLine="0"/>
      </w:pPr>
      <w:r>
        <w:rPr>
          <w:rFonts w:ascii="宋体" w:hAnsi="宋体" w:eastAsia="宋体"/>
          <w:b/>
          <w:sz w:val="24"/>
        </w:rPr>
        <w:t>操作路径：</w:t>
      </w:r>
      <w:r>
        <w:rPr>
          <w:rFonts w:ascii="宋体" w:hAnsi="宋体" w:eastAsia="宋体"/>
          <w:sz w:val="24"/>
        </w:rPr>
        <w:t>大数据可视化 → 指标库方案</w:t>
      </w:r>
    </w:p>
    <w:p w14:paraId="5C23D1CF">
      <w:pPr>
        <w:spacing w:line="360" w:lineRule="auto"/>
        <w:ind w:firstLine="420"/>
        <w:jc w:val="both"/>
      </w:pPr>
      <w:r>
        <w:rPr>
          <w:rFonts w:ascii="宋体" w:hAnsi="宋体" w:eastAsia="宋体"/>
          <w:sz w:val="24"/>
        </w:rPr>
        <w:t>指标库方案显示已推送或已保存的指标方案列表，支持查看与删除等操作。</w:t>
      </w:r>
    </w:p>
    <w:p w14:paraId="7443C305">
      <w:pPr>
        <w:jc w:val="center"/>
      </w:pPr>
      <w:r>
        <w:drawing>
          <wp:inline distT="0" distB="0" distL="114300" distR="114300">
            <wp:extent cx="5039995" cy="2101850"/>
            <wp:effectExtent l="0" t="0" r="14605"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17"/>
                    <a:stretch>
                      <a:fillRect/>
                    </a:stretch>
                  </pic:blipFill>
                  <pic:spPr>
                    <a:xfrm>
                      <a:off x="0" y="0"/>
                      <a:ext cx="5040000" cy="2101858"/>
                    </a:xfrm>
                    <a:prstGeom prst="rect">
                      <a:avLst/>
                    </a:prstGeom>
                  </pic:spPr>
                </pic:pic>
              </a:graphicData>
            </a:graphic>
          </wp:inline>
        </w:drawing>
      </w:r>
    </w:p>
    <w:p w14:paraId="7C6C6BBA">
      <w:pPr>
        <w:jc w:val="center"/>
      </w:pPr>
      <w:r>
        <w:rPr>
          <w:rFonts w:ascii="宋体" w:hAnsi="宋体" w:eastAsia="宋体"/>
          <w:b w:val="0"/>
          <w:sz w:val="21"/>
        </w:rPr>
        <w:t>图 指标库方案列表（历史界面示意）</w:t>
      </w:r>
    </w:p>
    <w:p w14:paraId="43885C05">
      <w:pPr>
        <w:jc w:val="center"/>
      </w:pPr>
      <w:r>
        <w:drawing>
          <wp:inline distT="0" distB="0" distL="114300" distR="114300">
            <wp:extent cx="5219700" cy="2936240"/>
            <wp:effectExtent l="0" t="0" r="12700" b="101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8"/>
                    <a:stretch>
                      <a:fillRect/>
                    </a:stretch>
                  </pic:blipFill>
                  <pic:spPr>
                    <a:xfrm>
                      <a:off x="0" y="0"/>
                      <a:ext cx="5220000" cy="2936250"/>
                    </a:xfrm>
                    <a:prstGeom prst="rect">
                      <a:avLst/>
                    </a:prstGeom>
                  </pic:spPr>
                </pic:pic>
              </a:graphicData>
            </a:graphic>
          </wp:inline>
        </w:drawing>
      </w:r>
    </w:p>
    <w:p w14:paraId="3E5B98C5">
      <w:pPr>
        <w:jc w:val="center"/>
      </w:pPr>
      <w:r>
        <w:rPr>
          <w:rFonts w:ascii="宋体" w:hAnsi="宋体" w:eastAsia="宋体"/>
          <w:b w:val="0"/>
          <w:sz w:val="21"/>
        </w:rPr>
        <w:t>图 指标库方案</w:t>
      </w:r>
    </w:p>
    <w:p w14:paraId="78F9F158">
      <w:pPr>
        <w:spacing w:line="360" w:lineRule="auto"/>
        <w:ind w:firstLine="420"/>
        <w:jc w:val="both"/>
      </w:pPr>
      <w:r>
        <w:rPr>
          <w:rFonts w:ascii="宋体" w:hAnsi="宋体" w:eastAsia="宋体"/>
          <w:b/>
          <w:color w:val="C00000"/>
          <w:sz w:val="24"/>
        </w:rPr>
        <w:t>【变更】</w:t>
      </w:r>
      <w:r>
        <w:rPr>
          <w:rFonts w:ascii="宋体" w:hAnsi="宋体" w:eastAsia="宋体"/>
          <w:b w:val="0"/>
          <w:sz w:val="24"/>
        </w:rPr>
        <w:t>指标库方案列表、转图表单、保存超时与图表类型契约已按生产环境恢复并对齐 Vastbase 查询结果（含字段大小写不敏感处理）。</w:t>
      </w:r>
    </w:p>
    <w:p w14:paraId="57ED6DB2">
      <w:pPr>
        <w:spacing w:line="360" w:lineRule="auto"/>
        <w:ind w:firstLine="420"/>
        <w:jc w:val="both"/>
      </w:pPr>
      <w:r>
        <w:rPr>
          <w:rFonts w:ascii="宋体" w:hAnsi="宋体" w:eastAsia="宋体"/>
          <w:b/>
          <w:color w:val="C00000"/>
          <w:sz w:val="24"/>
        </w:rPr>
        <w:t>【变更】</w:t>
      </w:r>
      <w:r>
        <w:rPr>
          <w:rFonts w:ascii="宋体" w:hAnsi="宋体" w:eastAsia="宋体"/>
          <w:b w:val="0"/>
          <w:sz w:val="24"/>
        </w:rPr>
        <w:t>已保存方案中的权限 SQL、指标 SQL 已迁移为 Vastbase 兼容写法；缺少数据表的指标在查询时会被拒绝，避免空跑报错。</w:t>
      </w:r>
    </w:p>
    <w:p w14:paraId="1994865E">
      <w:pPr>
        <w:pStyle w:val="6"/>
        <w:numPr>
          <w:ilvl w:val="2"/>
          <w:numId w:val="7"/>
        </w:numPr>
      </w:pPr>
      <w:bookmarkStart w:id="25" w:name="_Toc1649269423"/>
      <w:r>
        <w:rPr>
          <w:rFonts w:ascii="黑体" w:hAnsi="黑体" w:eastAsia="黑体"/>
          <w:b/>
          <w:sz w:val="24"/>
        </w:rPr>
        <w:t>转图</w:t>
      </w:r>
      <w:bookmarkEnd w:id="25"/>
    </w:p>
    <w:p w14:paraId="3FD14236">
      <w:pPr>
        <w:spacing w:line="360" w:lineRule="auto"/>
        <w:ind w:firstLine="420"/>
        <w:jc w:val="both"/>
      </w:pPr>
      <w:r>
        <w:rPr>
          <w:rFonts w:ascii="宋体" w:hAnsi="宋体" w:eastAsia="宋体"/>
          <w:sz w:val="24"/>
        </w:rPr>
        <w:t>点击转图按钮后，可将指标库方案对应数据转成柱状图、折线图、饼图、柱状+折线图和地图五种图。</w:t>
      </w:r>
    </w:p>
    <w:p w14:paraId="5B4BDA65">
      <w:pPr>
        <w:jc w:val="center"/>
      </w:pPr>
      <w:r>
        <w:drawing>
          <wp:inline distT="0" distB="0" distL="114300" distR="114300">
            <wp:extent cx="5039995" cy="795020"/>
            <wp:effectExtent l="0" t="0" r="14605" b="177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19"/>
                    <a:stretch>
                      <a:fillRect/>
                    </a:stretch>
                  </pic:blipFill>
                  <pic:spPr>
                    <a:xfrm>
                      <a:off x="0" y="0"/>
                      <a:ext cx="5040000" cy="795042"/>
                    </a:xfrm>
                    <a:prstGeom prst="rect">
                      <a:avLst/>
                    </a:prstGeom>
                  </pic:spPr>
                </pic:pic>
              </a:graphicData>
            </a:graphic>
          </wp:inline>
        </w:drawing>
      </w:r>
    </w:p>
    <w:p w14:paraId="57EE312A">
      <w:pPr>
        <w:jc w:val="center"/>
      </w:pPr>
      <w:r>
        <w:rPr>
          <w:rFonts w:ascii="宋体" w:hAnsi="宋体" w:eastAsia="宋体"/>
          <w:b w:val="0"/>
          <w:sz w:val="21"/>
        </w:rPr>
        <w:t>图 转图-选择图表类型</w:t>
      </w:r>
    </w:p>
    <w:p w14:paraId="7C1D6813">
      <w:pPr>
        <w:jc w:val="center"/>
      </w:pPr>
      <w:r>
        <w:drawing>
          <wp:inline distT="0" distB="0" distL="114300" distR="114300">
            <wp:extent cx="5219700" cy="2936240"/>
            <wp:effectExtent l="0" t="0" r="12700" b="101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0"/>
                    <a:stretch>
                      <a:fillRect/>
                    </a:stretch>
                  </pic:blipFill>
                  <pic:spPr>
                    <a:xfrm>
                      <a:off x="0" y="0"/>
                      <a:ext cx="5220000" cy="2936250"/>
                    </a:xfrm>
                    <a:prstGeom prst="rect">
                      <a:avLst/>
                    </a:prstGeom>
                  </pic:spPr>
                </pic:pic>
              </a:graphicData>
            </a:graphic>
          </wp:inline>
        </w:drawing>
      </w:r>
    </w:p>
    <w:p w14:paraId="62249169">
      <w:pPr>
        <w:jc w:val="center"/>
      </w:pPr>
      <w:r>
        <w:rPr>
          <w:rFonts w:ascii="宋体" w:hAnsi="宋体" w:eastAsia="宋体"/>
          <w:b w:val="0"/>
          <w:sz w:val="21"/>
        </w:rPr>
        <w:t>图 指标库方案转图</w:t>
      </w:r>
    </w:p>
    <w:p w14:paraId="733D7273">
      <w:pPr>
        <w:pStyle w:val="7"/>
        <w:numPr>
          <w:ilvl w:val="3"/>
          <w:numId w:val="7"/>
        </w:numPr>
      </w:pPr>
      <w:r>
        <w:rPr>
          <w:rFonts w:ascii="黑体" w:hAnsi="黑体" w:eastAsia="黑体"/>
          <w:b/>
          <w:sz w:val="24"/>
        </w:rPr>
        <w:t>柱状图</w:t>
      </w:r>
    </w:p>
    <w:p w14:paraId="1291C2BD">
      <w:pPr>
        <w:spacing w:line="360" w:lineRule="auto"/>
        <w:ind w:firstLine="420"/>
        <w:jc w:val="both"/>
      </w:pPr>
      <w:r>
        <w:rPr>
          <w:rFonts w:ascii="宋体" w:hAnsi="宋体" w:eastAsia="宋体"/>
          <w:sz w:val="24"/>
        </w:rPr>
        <w:t>选择柱状图后，由于查询指标时已经选定了维度、周期和指标，此处只需设置柱状图的横轴是显示账期还是维度，然后选择指标的级次、辖属。指标、级次、辖属都可多选，系统会自动对指标、级次、辖属进行排列组合。</w:t>
      </w:r>
    </w:p>
    <w:p w14:paraId="5ECC2AC2">
      <w:pPr>
        <w:jc w:val="center"/>
      </w:pPr>
      <w:r>
        <w:drawing>
          <wp:inline distT="0" distB="0" distL="114300" distR="114300">
            <wp:extent cx="5039995" cy="2249805"/>
            <wp:effectExtent l="0" t="0" r="14605" b="1079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21"/>
                    <a:stretch>
                      <a:fillRect/>
                    </a:stretch>
                  </pic:blipFill>
                  <pic:spPr>
                    <a:xfrm>
                      <a:off x="0" y="0"/>
                      <a:ext cx="5040000" cy="2249878"/>
                    </a:xfrm>
                    <a:prstGeom prst="rect">
                      <a:avLst/>
                    </a:prstGeom>
                  </pic:spPr>
                </pic:pic>
              </a:graphicData>
            </a:graphic>
          </wp:inline>
        </w:drawing>
      </w:r>
    </w:p>
    <w:p w14:paraId="3F40F1ED">
      <w:pPr>
        <w:jc w:val="center"/>
      </w:pPr>
      <w:r>
        <w:rPr>
          <w:rFonts w:ascii="宋体" w:hAnsi="宋体" w:eastAsia="宋体"/>
          <w:b w:val="0"/>
          <w:sz w:val="21"/>
        </w:rPr>
        <w:t>图 柱状图参数设置</w:t>
      </w:r>
    </w:p>
    <w:p w14:paraId="6CF3B85A">
      <w:pPr>
        <w:spacing w:line="360" w:lineRule="auto"/>
        <w:ind w:firstLine="420"/>
        <w:jc w:val="both"/>
      </w:pPr>
      <w:r>
        <w:rPr>
          <w:rFonts w:ascii="宋体" w:hAnsi="宋体" w:eastAsia="宋体"/>
          <w:sz w:val="24"/>
        </w:rPr>
        <w:t>说明：柱状图为二维图表。当横轴选择显示账期时，图表由指标和账期构成，需确定维度具体信息，展示同一维度下相同指标在时间序列上的变化；当横轴选择显示维度时，图表由指标和维度构成，需确定账期具体信息，展示同一账期下相同指标在不同维度上的变化。</w:t>
      </w:r>
    </w:p>
    <w:p w14:paraId="03310A7E">
      <w:pPr>
        <w:spacing w:line="360" w:lineRule="auto"/>
        <w:ind w:firstLine="420"/>
        <w:jc w:val="both"/>
      </w:pPr>
      <w:r>
        <w:rPr>
          <w:rFonts w:ascii="宋体" w:hAnsi="宋体" w:eastAsia="宋体"/>
          <w:sz w:val="24"/>
        </w:rPr>
        <w:t>完成信息设置后，点击【生成图片】按钮，就会在设置项的下方生成相应的图表。生成图片后，可设置图形颜色，默认提供十种颜色可供选择。</w:t>
      </w:r>
    </w:p>
    <w:p w14:paraId="4949FA97">
      <w:pPr>
        <w:jc w:val="center"/>
      </w:pPr>
      <w:r>
        <w:drawing>
          <wp:inline distT="0" distB="0" distL="114300" distR="114300">
            <wp:extent cx="5039995" cy="2540635"/>
            <wp:effectExtent l="0" t="0" r="14605" b="2476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2"/>
                    <a:stretch>
                      <a:fillRect/>
                    </a:stretch>
                  </pic:blipFill>
                  <pic:spPr>
                    <a:xfrm>
                      <a:off x="0" y="0"/>
                      <a:ext cx="5040000" cy="2540884"/>
                    </a:xfrm>
                    <a:prstGeom prst="rect">
                      <a:avLst/>
                    </a:prstGeom>
                  </pic:spPr>
                </pic:pic>
              </a:graphicData>
            </a:graphic>
          </wp:inline>
        </w:drawing>
      </w:r>
    </w:p>
    <w:p w14:paraId="65C352BB">
      <w:pPr>
        <w:jc w:val="center"/>
      </w:pPr>
      <w:r>
        <w:rPr>
          <w:rFonts w:ascii="宋体" w:hAnsi="宋体" w:eastAsia="宋体"/>
          <w:b w:val="0"/>
          <w:sz w:val="21"/>
        </w:rPr>
        <w:t>图 柱状图生成结果与颜色设置</w:t>
      </w:r>
    </w:p>
    <w:p w14:paraId="4036681C">
      <w:pPr>
        <w:pStyle w:val="7"/>
        <w:numPr>
          <w:ilvl w:val="3"/>
          <w:numId w:val="7"/>
        </w:numPr>
      </w:pPr>
      <w:r>
        <w:rPr>
          <w:rFonts w:ascii="黑体" w:hAnsi="黑体" w:eastAsia="黑体"/>
          <w:b/>
          <w:sz w:val="24"/>
        </w:rPr>
        <w:t>折线图</w:t>
      </w:r>
    </w:p>
    <w:p w14:paraId="4783C8D5">
      <w:pPr>
        <w:spacing w:line="360" w:lineRule="auto"/>
        <w:ind w:firstLine="420"/>
        <w:jc w:val="both"/>
      </w:pPr>
      <w:r>
        <w:rPr>
          <w:rFonts w:ascii="宋体" w:hAnsi="宋体" w:eastAsia="宋体"/>
          <w:sz w:val="24"/>
        </w:rPr>
        <w:t>折线图的设置与柱状图类似，只是展示形式由柱子变为折线。</w:t>
      </w:r>
    </w:p>
    <w:p w14:paraId="58F6ECB9">
      <w:pPr>
        <w:pStyle w:val="7"/>
        <w:numPr>
          <w:ilvl w:val="3"/>
          <w:numId w:val="7"/>
        </w:numPr>
      </w:pPr>
      <w:r>
        <w:rPr>
          <w:rFonts w:ascii="黑体" w:hAnsi="黑体" w:eastAsia="黑体"/>
          <w:b/>
          <w:sz w:val="24"/>
        </w:rPr>
        <w:t>饼图</w:t>
      </w:r>
    </w:p>
    <w:p w14:paraId="634A492F">
      <w:pPr>
        <w:spacing w:line="360" w:lineRule="auto"/>
        <w:ind w:firstLine="420"/>
        <w:jc w:val="both"/>
      </w:pPr>
      <w:r>
        <w:rPr>
          <w:rFonts w:ascii="宋体" w:hAnsi="宋体" w:eastAsia="宋体"/>
          <w:sz w:val="24"/>
        </w:rPr>
        <w:t>饼图为单维度图表，选择饼图后首先需要设置组成逻辑（统计类型）。系统提供账期、维度、指标三种组成逻辑：选择账期时，由相同维度（国库或地区）、指标的多个账期组成；选择维度时，由相同账期、指标的多个维度组成；选择指标时，由相同维度、账期的多个指标组成。最后点击【生成图片】按钮完成设置。</w:t>
      </w:r>
    </w:p>
    <w:p w14:paraId="4B385E20">
      <w:pPr>
        <w:jc w:val="center"/>
      </w:pPr>
      <w:r>
        <w:drawing>
          <wp:inline distT="0" distB="0" distL="114300" distR="114300">
            <wp:extent cx="5039995" cy="2076450"/>
            <wp:effectExtent l="0" t="0" r="14605"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3"/>
                    <a:stretch>
                      <a:fillRect/>
                    </a:stretch>
                  </pic:blipFill>
                  <pic:spPr>
                    <a:xfrm>
                      <a:off x="0" y="0"/>
                      <a:ext cx="5040000" cy="2076508"/>
                    </a:xfrm>
                    <a:prstGeom prst="rect">
                      <a:avLst/>
                    </a:prstGeom>
                  </pic:spPr>
                </pic:pic>
              </a:graphicData>
            </a:graphic>
          </wp:inline>
        </w:drawing>
      </w:r>
    </w:p>
    <w:p w14:paraId="300AA658">
      <w:pPr>
        <w:jc w:val="center"/>
      </w:pPr>
      <w:r>
        <w:rPr>
          <w:rFonts w:ascii="宋体" w:hAnsi="宋体" w:eastAsia="宋体"/>
          <w:b w:val="0"/>
          <w:sz w:val="21"/>
        </w:rPr>
        <w:t>图 饼图参数设置</w:t>
      </w:r>
    </w:p>
    <w:p w14:paraId="250A0669">
      <w:pPr>
        <w:jc w:val="center"/>
      </w:pPr>
      <w:r>
        <w:drawing>
          <wp:inline distT="0" distB="0" distL="114300" distR="114300">
            <wp:extent cx="5039995" cy="3130550"/>
            <wp:effectExtent l="0" t="0" r="14605" b="190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4"/>
                    <a:stretch>
                      <a:fillRect/>
                    </a:stretch>
                  </pic:blipFill>
                  <pic:spPr>
                    <a:xfrm>
                      <a:off x="0" y="0"/>
                      <a:ext cx="5040000" cy="3130588"/>
                    </a:xfrm>
                    <a:prstGeom prst="rect">
                      <a:avLst/>
                    </a:prstGeom>
                  </pic:spPr>
                </pic:pic>
              </a:graphicData>
            </a:graphic>
          </wp:inline>
        </w:drawing>
      </w:r>
    </w:p>
    <w:p w14:paraId="5A1A38ED">
      <w:pPr>
        <w:jc w:val="center"/>
      </w:pPr>
      <w:r>
        <w:rPr>
          <w:rFonts w:ascii="宋体" w:hAnsi="宋体" w:eastAsia="宋体"/>
          <w:b w:val="0"/>
          <w:sz w:val="21"/>
        </w:rPr>
        <w:t>图 饼图生成结果</w:t>
      </w:r>
    </w:p>
    <w:p w14:paraId="4E31A4A8">
      <w:pPr>
        <w:pStyle w:val="7"/>
        <w:numPr>
          <w:ilvl w:val="3"/>
          <w:numId w:val="7"/>
        </w:numPr>
      </w:pPr>
      <w:r>
        <w:rPr>
          <w:rFonts w:ascii="黑体" w:hAnsi="黑体" w:eastAsia="黑体"/>
          <w:b/>
          <w:sz w:val="24"/>
        </w:rPr>
        <w:t>柱状折线图</w:t>
      </w:r>
    </w:p>
    <w:p w14:paraId="3A7D0825">
      <w:pPr>
        <w:spacing w:line="360" w:lineRule="auto"/>
        <w:ind w:firstLine="420"/>
        <w:jc w:val="both"/>
      </w:pPr>
      <w:r>
        <w:rPr>
          <w:rFonts w:ascii="宋体" w:hAnsi="宋体" w:eastAsia="宋体"/>
          <w:sz w:val="24"/>
        </w:rPr>
        <w:t>柱状折线图需完成横轴显示内容设置，并指定哪些指标展示为折线、哪些展示为柱子，最后点击【生成图片】保存。</w:t>
      </w:r>
    </w:p>
    <w:p w14:paraId="7ED2FA1B">
      <w:pPr>
        <w:jc w:val="center"/>
      </w:pPr>
      <w:r>
        <w:drawing>
          <wp:inline distT="0" distB="0" distL="114300" distR="114300">
            <wp:extent cx="5039995" cy="2155825"/>
            <wp:effectExtent l="0" t="0" r="14605"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5"/>
                    <a:stretch>
                      <a:fillRect/>
                    </a:stretch>
                  </pic:blipFill>
                  <pic:spPr>
                    <a:xfrm>
                      <a:off x="0" y="0"/>
                      <a:ext cx="5040000" cy="2156000"/>
                    </a:xfrm>
                    <a:prstGeom prst="rect">
                      <a:avLst/>
                    </a:prstGeom>
                  </pic:spPr>
                </pic:pic>
              </a:graphicData>
            </a:graphic>
          </wp:inline>
        </w:drawing>
      </w:r>
    </w:p>
    <w:p w14:paraId="1E16C55A">
      <w:pPr>
        <w:jc w:val="center"/>
      </w:pPr>
      <w:r>
        <w:rPr>
          <w:rFonts w:ascii="宋体" w:hAnsi="宋体" w:eastAsia="宋体"/>
          <w:b w:val="0"/>
          <w:sz w:val="21"/>
        </w:rPr>
        <w:t>图 柱状折线图参数设置（指定柱/线指标）</w:t>
      </w:r>
    </w:p>
    <w:p w14:paraId="7F0DAAD5">
      <w:pPr>
        <w:jc w:val="center"/>
      </w:pPr>
      <w:r>
        <w:drawing>
          <wp:inline distT="0" distB="0" distL="114300" distR="114300">
            <wp:extent cx="5039995" cy="2169160"/>
            <wp:effectExtent l="0" t="0" r="14605" b="152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6"/>
                    <a:stretch>
                      <a:fillRect/>
                    </a:stretch>
                  </pic:blipFill>
                  <pic:spPr>
                    <a:xfrm>
                      <a:off x="0" y="0"/>
                      <a:ext cx="5040000" cy="2169297"/>
                    </a:xfrm>
                    <a:prstGeom prst="rect">
                      <a:avLst/>
                    </a:prstGeom>
                  </pic:spPr>
                </pic:pic>
              </a:graphicData>
            </a:graphic>
          </wp:inline>
        </w:drawing>
      </w:r>
    </w:p>
    <w:p w14:paraId="10AE4D06">
      <w:pPr>
        <w:jc w:val="center"/>
      </w:pPr>
      <w:r>
        <w:rPr>
          <w:rFonts w:ascii="宋体" w:hAnsi="宋体" w:eastAsia="宋体"/>
          <w:b w:val="0"/>
          <w:sz w:val="21"/>
        </w:rPr>
        <w:t>图 柱状折线图生成结果</w:t>
      </w:r>
    </w:p>
    <w:p w14:paraId="5EFFE54F">
      <w:pPr>
        <w:pStyle w:val="7"/>
        <w:numPr>
          <w:ilvl w:val="3"/>
          <w:numId w:val="7"/>
        </w:numPr>
      </w:pPr>
      <w:r>
        <w:rPr>
          <w:rFonts w:ascii="黑体" w:hAnsi="黑体" w:eastAsia="黑体"/>
          <w:b/>
          <w:sz w:val="24"/>
        </w:rPr>
        <w:t>地图</w:t>
      </w:r>
    </w:p>
    <w:p w14:paraId="29024BB7">
      <w:pPr>
        <w:spacing w:line="360" w:lineRule="auto"/>
        <w:ind w:firstLine="420"/>
        <w:jc w:val="both"/>
      </w:pPr>
      <w:r>
        <w:rPr>
          <w:rFonts w:ascii="宋体" w:hAnsi="宋体" w:eastAsia="宋体"/>
          <w:sz w:val="24"/>
        </w:rPr>
        <w:t>地图需要选择统计时间维度，点击【生成图片】完成设置。点击【确定】可将图片保存至图库。</w:t>
      </w:r>
    </w:p>
    <w:p w14:paraId="688F933F">
      <w:pPr>
        <w:jc w:val="center"/>
      </w:pPr>
      <w:r>
        <w:drawing>
          <wp:inline distT="0" distB="0" distL="114300" distR="114300">
            <wp:extent cx="5039995" cy="1327785"/>
            <wp:effectExtent l="0" t="0" r="14605" b="184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7"/>
                    <a:stretch>
                      <a:fillRect/>
                    </a:stretch>
                  </pic:blipFill>
                  <pic:spPr>
                    <a:xfrm>
                      <a:off x="0" y="0"/>
                      <a:ext cx="5040000" cy="1328155"/>
                    </a:xfrm>
                    <a:prstGeom prst="rect">
                      <a:avLst/>
                    </a:prstGeom>
                  </pic:spPr>
                </pic:pic>
              </a:graphicData>
            </a:graphic>
          </wp:inline>
        </w:drawing>
      </w:r>
    </w:p>
    <w:p w14:paraId="2DF28E93">
      <w:pPr>
        <w:jc w:val="center"/>
      </w:pPr>
      <w:r>
        <w:rPr>
          <w:rFonts w:ascii="宋体" w:hAnsi="宋体" w:eastAsia="宋体"/>
          <w:b w:val="0"/>
          <w:sz w:val="21"/>
        </w:rPr>
        <w:t>图 地图参数设置</w:t>
      </w:r>
    </w:p>
    <w:p w14:paraId="72B30E51">
      <w:pPr>
        <w:jc w:val="center"/>
      </w:pPr>
      <w:r>
        <w:drawing>
          <wp:inline distT="0" distB="0" distL="114300" distR="114300">
            <wp:extent cx="5039995" cy="1791335"/>
            <wp:effectExtent l="0" t="0" r="14605" b="1206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8"/>
                    <a:stretch>
                      <a:fillRect/>
                    </a:stretch>
                  </pic:blipFill>
                  <pic:spPr>
                    <a:xfrm>
                      <a:off x="0" y="0"/>
                      <a:ext cx="5040000" cy="1791604"/>
                    </a:xfrm>
                    <a:prstGeom prst="rect">
                      <a:avLst/>
                    </a:prstGeom>
                  </pic:spPr>
                </pic:pic>
              </a:graphicData>
            </a:graphic>
          </wp:inline>
        </w:drawing>
      </w:r>
    </w:p>
    <w:p w14:paraId="26C7D8FF">
      <w:pPr>
        <w:jc w:val="center"/>
      </w:pPr>
      <w:r>
        <w:rPr>
          <w:rFonts w:ascii="宋体" w:hAnsi="宋体" w:eastAsia="宋体"/>
          <w:b w:val="0"/>
          <w:sz w:val="21"/>
        </w:rPr>
        <w:t>图 地图生成结果（区域着色）</w:t>
      </w:r>
    </w:p>
    <w:p w14:paraId="184DEE37">
      <w:pPr>
        <w:spacing w:line="360" w:lineRule="auto"/>
        <w:ind w:firstLine="420"/>
        <w:jc w:val="both"/>
      </w:pPr>
      <w:r>
        <w:rPr>
          <w:rFonts w:ascii="宋体" w:hAnsi="宋体" w:eastAsia="宋体"/>
          <w:b/>
          <w:color w:val="C00000"/>
          <w:sz w:val="24"/>
        </w:rPr>
        <w:t>【变更】</w:t>
      </w:r>
      <w:r>
        <w:rPr>
          <w:rFonts w:ascii="宋体" w:hAnsi="宋体" w:eastAsia="宋体"/>
          <w:b w:val="0"/>
          <w:sz w:val="24"/>
        </w:rPr>
        <w:t>饼图分组与部分标签、维度树映射、数值型指标值等转图细节已修复，避免 Vastbase 返回结果导致图形异常。</w:t>
      </w:r>
    </w:p>
    <w:p w14:paraId="73CFB622">
      <w:pPr>
        <w:pStyle w:val="5"/>
        <w:numPr>
          <w:ilvl w:val="1"/>
          <w:numId w:val="7"/>
        </w:numPr>
      </w:pPr>
      <w:bookmarkStart w:id="26" w:name="_Toc1699760532"/>
      <w:r>
        <w:rPr>
          <w:rFonts w:ascii="黑体" w:hAnsi="黑体" w:eastAsia="黑体"/>
          <w:b/>
          <w:sz w:val="28"/>
        </w:rPr>
        <w:t>图片</w:t>
      </w:r>
      <w:bookmarkEnd w:id="26"/>
    </w:p>
    <w:p w14:paraId="28DD0AB1">
      <w:pPr>
        <w:spacing w:line="360" w:lineRule="auto"/>
        <w:ind w:firstLine="420"/>
        <w:jc w:val="both"/>
      </w:pPr>
      <w:r>
        <w:rPr>
          <w:rFonts w:ascii="宋体" w:hAnsi="宋体" w:eastAsia="宋体"/>
          <w:sz w:val="24"/>
        </w:rPr>
        <w:t>将外部图片导入系统，用做大屏汇报。点击【上传图片】按钮选择需要上传的图片，支持多个图片批量选择上传。</w:t>
      </w:r>
    </w:p>
    <w:p w14:paraId="09092BEB">
      <w:pPr>
        <w:jc w:val="center"/>
      </w:pPr>
      <w:r>
        <w:drawing>
          <wp:inline distT="0" distB="0" distL="114300" distR="114300">
            <wp:extent cx="5039995" cy="602615"/>
            <wp:effectExtent l="0" t="0" r="14605"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9"/>
                    <a:stretch>
                      <a:fillRect/>
                    </a:stretch>
                  </pic:blipFill>
                  <pic:spPr>
                    <a:xfrm>
                      <a:off x="0" y="0"/>
                      <a:ext cx="5040000" cy="602699"/>
                    </a:xfrm>
                    <a:prstGeom prst="rect">
                      <a:avLst/>
                    </a:prstGeom>
                  </pic:spPr>
                </pic:pic>
              </a:graphicData>
            </a:graphic>
          </wp:inline>
        </w:drawing>
      </w:r>
    </w:p>
    <w:p w14:paraId="77E4FE74">
      <w:pPr>
        <w:jc w:val="center"/>
      </w:pPr>
      <w:r>
        <w:rPr>
          <w:rFonts w:ascii="宋体" w:hAnsi="宋体" w:eastAsia="宋体"/>
          <w:b w:val="0"/>
          <w:sz w:val="21"/>
        </w:rPr>
        <w:t>图 图库-图片入口与上传按钮</w:t>
      </w:r>
    </w:p>
    <w:p w14:paraId="714892C2">
      <w:pPr>
        <w:jc w:val="center"/>
      </w:pPr>
      <w:r>
        <w:drawing>
          <wp:inline distT="0" distB="0" distL="114300" distR="114300">
            <wp:extent cx="5039995" cy="2170430"/>
            <wp:effectExtent l="0" t="0" r="14605" b="139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0"/>
                    <a:stretch>
                      <a:fillRect/>
                    </a:stretch>
                  </pic:blipFill>
                  <pic:spPr>
                    <a:xfrm>
                      <a:off x="0" y="0"/>
                      <a:ext cx="5040000" cy="2170470"/>
                    </a:xfrm>
                    <a:prstGeom prst="rect">
                      <a:avLst/>
                    </a:prstGeom>
                  </pic:spPr>
                </pic:pic>
              </a:graphicData>
            </a:graphic>
          </wp:inline>
        </w:drawing>
      </w:r>
    </w:p>
    <w:p w14:paraId="5E132B34">
      <w:pPr>
        <w:jc w:val="center"/>
      </w:pPr>
      <w:r>
        <w:rPr>
          <w:rFonts w:ascii="宋体" w:hAnsi="宋体" w:eastAsia="宋体"/>
          <w:b w:val="0"/>
          <w:sz w:val="21"/>
        </w:rPr>
        <w:t>图 上传图片对话框</w:t>
      </w:r>
    </w:p>
    <w:p w14:paraId="7B42B6D9">
      <w:pPr>
        <w:pStyle w:val="5"/>
        <w:numPr>
          <w:ilvl w:val="1"/>
          <w:numId w:val="7"/>
        </w:numPr>
      </w:pPr>
      <w:bookmarkStart w:id="27" w:name="_Toc2047788930"/>
      <w:r>
        <w:rPr>
          <w:rFonts w:ascii="黑体" w:hAnsi="黑体" w:eastAsia="黑体"/>
          <w:b/>
          <w:sz w:val="28"/>
        </w:rPr>
        <w:t>视频</w:t>
      </w:r>
      <w:bookmarkEnd w:id="27"/>
    </w:p>
    <w:p w14:paraId="70345105">
      <w:pPr>
        <w:spacing w:line="360" w:lineRule="auto"/>
        <w:ind w:firstLine="420"/>
        <w:jc w:val="both"/>
      </w:pPr>
      <w:r>
        <w:rPr>
          <w:rFonts w:ascii="宋体" w:hAnsi="宋体" w:eastAsia="宋体"/>
          <w:sz w:val="24"/>
        </w:rPr>
        <w:t>将外部视频导入系统，用做大屏汇报。点击【上传视频】按钮选择需要上传的视频，支持预览、修改标题和封面截取（将视频播放到需要作为封面的时间暂停，点击【确定】可截取封面）。</w:t>
      </w:r>
    </w:p>
    <w:p w14:paraId="1ED88AFD">
      <w:pPr>
        <w:jc w:val="center"/>
      </w:pPr>
      <w:r>
        <w:drawing>
          <wp:inline distT="0" distB="0" distL="114300" distR="114300">
            <wp:extent cx="5039995" cy="822960"/>
            <wp:effectExtent l="0" t="0" r="14605" b="152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31"/>
                    <a:stretch>
                      <a:fillRect/>
                    </a:stretch>
                  </pic:blipFill>
                  <pic:spPr>
                    <a:xfrm>
                      <a:off x="0" y="0"/>
                      <a:ext cx="5040000" cy="823212"/>
                    </a:xfrm>
                    <a:prstGeom prst="rect">
                      <a:avLst/>
                    </a:prstGeom>
                  </pic:spPr>
                </pic:pic>
              </a:graphicData>
            </a:graphic>
          </wp:inline>
        </w:drawing>
      </w:r>
    </w:p>
    <w:p w14:paraId="1A5EA90A">
      <w:pPr>
        <w:jc w:val="center"/>
      </w:pPr>
      <w:r>
        <w:rPr>
          <w:rFonts w:ascii="宋体" w:hAnsi="宋体" w:eastAsia="宋体"/>
          <w:b w:val="0"/>
          <w:sz w:val="21"/>
        </w:rPr>
        <w:t>图 图库-视频入口与上传按钮</w:t>
      </w:r>
    </w:p>
    <w:p w14:paraId="708939CB">
      <w:pPr>
        <w:jc w:val="center"/>
      </w:pPr>
      <w:r>
        <w:drawing>
          <wp:inline distT="0" distB="0" distL="114300" distR="114300">
            <wp:extent cx="5039995" cy="2426335"/>
            <wp:effectExtent l="0" t="0" r="14605" b="1206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32"/>
                    <a:stretch>
                      <a:fillRect/>
                    </a:stretch>
                  </pic:blipFill>
                  <pic:spPr>
                    <a:xfrm>
                      <a:off x="0" y="0"/>
                      <a:ext cx="5040000" cy="2426873"/>
                    </a:xfrm>
                    <a:prstGeom prst="rect">
                      <a:avLst/>
                    </a:prstGeom>
                  </pic:spPr>
                </pic:pic>
              </a:graphicData>
            </a:graphic>
          </wp:inline>
        </w:drawing>
      </w:r>
    </w:p>
    <w:p w14:paraId="5841D883">
      <w:pPr>
        <w:jc w:val="center"/>
      </w:pPr>
      <w:r>
        <w:rPr>
          <w:rFonts w:ascii="宋体" w:hAnsi="宋体" w:eastAsia="宋体"/>
          <w:b w:val="0"/>
          <w:sz w:val="21"/>
        </w:rPr>
        <w:t>图 上传视频对话框（预览/标题）</w:t>
      </w:r>
    </w:p>
    <w:p w14:paraId="2AB0053C">
      <w:pPr>
        <w:pStyle w:val="4"/>
        <w:numPr>
          <w:ilvl w:val="0"/>
          <w:numId w:val="7"/>
        </w:numPr>
      </w:pPr>
      <w:bookmarkStart w:id="28" w:name="_Toc1615619688"/>
      <w:r>
        <w:rPr>
          <w:rFonts w:ascii="黑体" w:hAnsi="黑体" w:eastAsia="黑体"/>
          <w:b/>
          <w:sz w:val="32"/>
        </w:rPr>
        <w:t>指标分析与智能报告</w:t>
      </w:r>
      <w:bookmarkEnd w:id="28"/>
    </w:p>
    <w:p w14:paraId="7DA37CE0">
      <w:pPr>
        <w:spacing w:line="360" w:lineRule="auto"/>
        <w:ind w:firstLine="420"/>
        <w:jc w:val="both"/>
      </w:pPr>
      <w:r>
        <w:rPr>
          <w:rFonts w:ascii="宋体" w:hAnsi="宋体" w:eastAsia="宋体"/>
          <w:sz w:val="24"/>
        </w:rPr>
        <w:t>本章对应原《国库大数据平台三期项目》用户操作手册中的指标与报告能力，并补充信创改造后的查询入口与权限行为。</w:t>
      </w:r>
    </w:p>
    <w:p w14:paraId="1B36B1FC">
      <w:pPr>
        <w:pStyle w:val="5"/>
        <w:numPr>
          <w:ilvl w:val="1"/>
          <w:numId w:val="7"/>
        </w:numPr>
      </w:pPr>
      <w:bookmarkStart w:id="29" w:name="_Toc936863548"/>
      <w:r>
        <w:rPr>
          <w:rFonts w:ascii="黑体" w:hAnsi="黑体" w:eastAsia="黑体"/>
          <w:b/>
          <w:sz w:val="28"/>
        </w:rPr>
        <w:t>新增指标与指标查询</w:t>
      </w:r>
      <w:bookmarkEnd w:id="29"/>
    </w:p>
    <w:p w14:paraId="1977C113">
      <w:pPr>
        <w:spacing w:line="360" w:lineRule="auto"/>
        <w:ind w:firstLine="420"/>
        <w:jc w:val="both"/>
      </w:pPr>
      <w:r>
        <w:rPr>
          <w:rFonts w:ascii="宋体" w:hAnsi="宋体" w:eastAsia="宋体"/>
          <w:sz w:val="24"/>
        </w:rPr>
        <w:t>通过对数据的整合，将数据指标通过查询条件进行查询。系统已沉淀大量业务指标供选择使用。</w:t>
      </w:r>
    </w:p>
    <w:p w14:paraId="13948168">
      <w:pPr>
        <w:spacing w:line="360" w:lineRule="auto"/>
        <w:ind w:firstLine="420"/>
        <w:jc w:val="both"/>
      </w:pPr>
      <w:r>
        <w:rPr>
          <w:rFonts w:ascii="宋体" w:hAnsi="宋体" w:eastAsia="宋体"/>
          <w:b/>
          <w:color w:val="C00000"/>
          <w:sz w:val="24"/>
        </w:rPr>
        <w:t>【变更】</w:t>
      </w:r>
      <w:r>
        <w:rPr>
          <w:rFonts w:ascii="宋体" w:hAnsi="宋体" w:eastAsia="宋体"/>
          <w:b w:val="0"/>
          <w:sz w:val="24"/>
        </w:rPr>
        <w:t>指标查询入口已恢复为生产查询页面；历史菜单指向已纠正。查询 SQL 与列名大小写按 Vastbase 兼容处理。</w:t>
      </w:r>
    </w:p>
    <w:p w14:paraId="07B80971">
      <w:pPr>
        <w:spacing w:line="360" w:lineRule="auto"/>
        <w:ind w:firstLine="420"/>
        <w:jc w:val="both"/>
      </w:pPr>
      <w:r>
        <w:rPr>
          <w:rFonts w:ascii="宋体" w:hAnsi="宋体" w:eastAsia="宋体"/>
          <w:b/>
          <w:color w:val="C00000"/>
          <w:sz w:val="24"/>
        </w:rPr>
        <w:t>【变更】</w:t>
      </w:r>
      <w:r>
        <w:rPr>
          <w:rFonts w:ascii="宋体" w:hAnsi="宋体" w:eastAsia="宋体"/>
          <w:b w:val="0"/>
          <w:sz w:val="24"/>
        </w:rPr>
        <w:t>指标分类节点不可被直接作为查询对象；元数据键名大小写差异已兼容。</w:t>
      </w:r>
    </w:p>
    <w:p w14:paraId="28530EB0">
      <w:pPr>
        <w:spacing w:line="360" w:lineRule="auto"/>
        <w:ind w:firstLine="420"/>
        <w:jc w:val="both"/>
      </w:pPr>
      <w:r>
        <w:rPr>
          <w:rFonts w:ascii="宋体" w:hAnsi="宋体" w:eastAsia="宋体"/>
          <w:b/>
          <w:color w:val="C00000"/>
          <w:sz w:val="24"/>
        </w:rPr>
        <w:t>【变更】</w:t>
      </w:r>
      <w:r>
        <w:rPr>
          <w:rFonts w:ascii="宋体" w:hAnsi="宋体" w:eastAsia="宋体"/>
          <w:b w:val="0"/>
          <w:sz w:val="24"/>
        </w:rPr>
        <w:t>指标查询按用户身份动态叠加国库数据范围（门户核算主体或本地 guoku_id）。</w:t>
      </w:r>
    </w:p>
    <w:p w14:paraId="3606BCAA">
      <w:pPr>
        <w:pStyle w:val="5"/>
        <w:numPr>
          <w:ilvl w:val="1"/>
          <w:numId w:val="7"/>
        </w:numPr>
      </w:pPr>
      <w:bookmarkStart w:id="30" w:name="_Toc515551432"/>
      <w:r>
        <w:rPr>
          <w:rFonts w:ascii="黑体" w:hAnsi="黑体" w:eastAsia="黑体"/>
          <w:b/>
          <w:sz w:val="28"/>
        </w:rPr>
        <w:t>智能报告</w:t>
      </w:r>
      <w:bookmarkEnd w:id="30"/>
    </w:p>
    <w:p w14:paraId="74B95C84">
      <w:pPr>
        <w:spacing w:line="360" w:lineRule="auto"/>
        <w:ind w:firstLine="420"/>
        <w:jc w:val="both"/>
      </w:pPr>
      <w:r>
        <w:rPr>
          <w:rFonts w:ascii="宋体" w:hAnsi="宋体" w:eastAsia="宋体"/>
          <w:sz w:val="24"/>
        </w:rPr>
        <w:t>根据系统数据生成智能报告，以月度快报、季度报告和季度快报等形式展示最新数据，便于业务人员、管理人员汇报与汇总。</w:t>
      </w:r>
    </w:p>
    <w:p w14:paraId="47F2FCF1">
      <w:pPr>
        <w:spacing w:line="360" w:lineRule="auto"/>
        <w:ind w:firstLine="420"/>
        <w:jc w:val="both"/>
      </w:pPr>
      <w:r>
        <w:rPr>
          <w:rFonts w:ascii="宋体" w:hAnsi="宋体" w:eastAsia="宋体"/>
          <w:b/>
          <w:color w:val="C00000"/>
          <w:sz w:val="24"/>
        </w:rPr>
        <w:t>【变更】</w:t>
      </w:r>
      <w:r>
        <w:rPr>
          <w:rFonts w:ascii="宋体" w:hAnsi="宋体" w:eastAsia="宋体"/>
          <w:b w:val="0"/>
          <w:sz w:val="24"/>
        </w:rPr>
        <w:t>智能报表相关适配与问题已按现场库环境修复，保证报告取数与展示可用。</w:t>
      </w:r>
    </w:p>
    <w:p w14:paraId="62EB3C9A">
      <w:pPr>
        <w:pStyle w:val="6"/>
        <w:numPr>
          <w:ilvl w:val="2"/>
          <w:numId w:val="7"/>
        </w:numPr>
      </w:pPr>
      <w:bookmarkStart w:id="31" w:name="_Toc1923885626"/>
      <w:r>
        <w:rPr>
          <w:rFonts w:ascii="黑体" w:hAnsi="黑体" w:eastAsia="黑体"/>
          <w:b/>
          <w:sz w:val="24"/>
        </w:rPr>
        <w:t>资金运行分析报告</w:t>
      </w:r>
      <w:bookmarkEnd w:id="31"/>
    </w:p>
    <w:p w14:paraId="1C4AEC64">
      <w:pPr>
        <w:spacing w:line="360" w:lineRule="auto"/>
        <w:ind w:firstLine="420"/>
        <w:jc w:val="both"/>
      </w:pPr>
      <w:r>
        <w:rPr>
          <w:rFonts w:ascii="宋体" w:hAnsi="宋体" w:eastAsia="宋体"/>
          <w:sz w:val="24"/>
        </w:rPr>
        <w:t>根据国库各区域运行资金情况，通过数据分析，形成报告分析。</w:t>
      </w:r>
    </w:p>
    <w:p w14:paraId="42D5AB93">
      <w:pPr>
        <w:jc w:val="center"/>
      </w:pPr>
      <w:r>
        <w:drawing>
          <wp:inline distT="0" distB="0" distL="114300" distR="114300">
            <wp:extent cx="5039995" cy="3774440"/>
            <wp:effectExtent l="0" t="0" r="14605" b="1016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33"/>
                    <a:stretch>
                      <a:fillRect/>
                    </a:stretch>
                  </pic:blipFill>
                  <pic:spPr>
                    <a:xfrm>
                      <a:off x="0" y="0"/>
                      <a:ext cx="5040000" cy="3775020"/>
                    </a:xfrm>
                    <a:prstGeom prst="rect">
                      <a:avLst/>
                    </a:prstGeom>
                  </pic:spPr>
                </pic:pic>
              </a:graphicData>
            </a:graphic>
          </wp:inline>
        </w:drawing>
      </w:r>
    </w:p>
    <w:p w14:paraId="77F9216E">
      <w:pPr>
        <w:jc w:val="center"/>
      </w:pPr>
      <w:r>
        <w:rPr>
          <w:rFonts w:ascii="宋体" w:hAnsi="宋体" w:eastAsia="宋体"/>
          <w:b w:val="0"/>
          <w:sz w:val="21"/>
        </w:rPr>
        <w:t>图 智能报告-资金运行概况与收支情况表</w:t>
      </w:r>
    </w:p>
    <w:p w14:paraId="63D323E5">
      <w:pPr>
        <w:pStyle w:val="6"/>
        <w:numPr>
          <w:ilvl w:val="2"/>
          <w:numId w:val="7"/>
        </w:numPr>
      </w:pPr>
      <w:bookmarkStart w:id="32" w:name="_Toc84443303"/>
      <w:r>
        <w:rPr>
          <w:rFonts w:ascii="黑体" w:hAnsi="黑体" w:eastAsia="黑体"/>
          <w:b/>
          <w:sz w:val="24"/>
        </w:rPr>
        <w:t>月度快报</w:t>
      </w:r>
      <w:bookmarkEnd w:id="32"/>
    </w:p>
    <w:p w14:paraId="2857CE5E">
      <w:pPr>
        <w:spacing w:line="360" w:lineRule="auto"/>
        <w:ind w:firstLine="420"/>
        <w:jc w:val="both"/>
      </w:pPr>
      <w:r>
        <w:rPr>
          <w:rFonts w:ascii="宋体" w:hAnsi="宋体" w:eastAsia="宋体"/>
          <w:sz w:val="24"/>
        </w:rPr>
        <w:t>整理月报资金运行情况，通过报告形式详细展示，把核心指标数据展示在分析报告上。</w:t>
      </w:r>
    </w:p>
    <w:p w14:paraId="3C165BCA">
      <w:pPr>
        <w:pStyle w:val="6"/>
        <w:numPr>
          <w:ilvl w:val="2"/>
          <w:numId w:val="7"/>
        </w:numPr>
      </w:pPr>
      <w:bookmarkStart w:id="33" w:name="_Toc1899386501"/>
      <w:r>
        <w:rPr>
          <w:rFonts w:ascii="黑体" w:hAnsi="黑体" w:eastAsia="黑体"/>
          <w:b/>
          <w:sz w:val="24"/>
        </w:rPr>
        <w:t>季度快报</w:t>
      </w:r>
      <w:bookmarkEnd w:id="33"/>
    </w:p>
    <w:p w14:paraId="4EABD229">
      <w:pPr>
        <w:spacing w:line="360" w:lineRule="auto"/>
        <w:ind w:firstLine="420"/>
        <w:jc w:val="both"/>
      </w:pPr>
      <w:r>
        <w:rPr>
          <w:rFonts w:ascii="宋体" w:hAnsi="宋体" w:eastAsia="宋体"/>
          <w:sz w:val="24"/>
        </w:rPr>
        <w:t>整理季报资金运行情况，通过报告形式详细展示，把核心指标数据展示在分析报告上。</w:t>
      </w:r>
    </w:p>
    <w:p w14:paraId="37B36FD6">
      <w:pPr>
        <w:pStyle w:val="4"/>
        <w:numPr>
          <w:ilvl w:val="0"/>
          <w:numId w:val="7"/>
        </w:numPr>
      </w:pPr>
      <w:bookmarkStart w:id="34" w:name="_Toc644509652"/>
      <w:r>
        <w:rPr>
          <w:rFonts w:ascii="黑体" w:hAnsi="黑体" w:eastAsia="黑体"/>
          <w:b/>
          <w:sz w:val="32"/>
        </w:rPr>
        <w:t>综合查询</w:t>
      </w:r>
      <w:bookmarkEnd w:id="34"/>
    </w:p>
    <w:p w14:paraId="751F12AA">
      <w:pPr>
        <w:pStyle w:val="5"/>
        <w:numPr>
          <w:ilvl w:val="1"/>
          <w:numId w:val="7"/>
        </w:numPr>
      </w:pPr>
      <w:bookmarkStart w:id="35" w:name="_Toc366205696"/>
      <w:r>
        <w:rPr>
          <w:rFonts w:ascii="黑体" w:hAnsi="黑体" w:eastAsia="黑体"/>
          <w:b/>
          <w:sz w:val="28"/>
        </w:rPr>
        <w:t>数据查询</w:t>
      </w:r>
      <w:bookmarkEnd w:id="35"/>
    </w:p>
    <w:p w14:paraId="6F214529">
      <w:pPr>
        <w:spacing w:line="360" w:lineRule="auto"/>
        <w:ind w:firstLine="420"/>
        <w:jc w:val="both"/>
      </w:pPr>
      <w:r>
        <w:rPr>
          <w:rFonts w:ascii="宋体" w:hAnsi="宋体" w:eastAsia="宋体"/>
          <w:sz w:val="24"/>
        </w:rPr>
        <w:t>通过权限配置，普通用户没有下载按钮功能权限，只有具有相应下载权限（如「综合查询下载」角色）的用户才有下载权限。</w:t>
      </w:r>
    </w:p>
    <w:p w14:paraId="65A7ABBB">
      <w:pPr>
        <w:jc w:val="center"/>
      </w:pPr>
      <w:r>
        <w:drawing>
          <wp:inline distT="0" distB="0" distL="114300" distR="114300">
            <wp:extent cx="5039995" cy="1616075"/>
            <wp:effectExtent l="0" t="0" r="1460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34"/>
                    <a:stretch>
                      <a:fillRect/>
                    </a:stretch>
                  </pic:blipFill>
                  <pic:spPr>
                    <a:xfrm>
                      <a:off x="0" y="0"/>
                      <a:ext cx="5040000" cy="1616454"/>
                    </a:xfrm>
                    <a:prstGeom prst="rect">
                      <a:avLst/>
                    </a:prstGeom>
                  </pic:spPr>
                </pic:pic>
              </a:graphicData>
            </a:graphic>
          </wp:inline>
        </w:drawing>
      </w:r>
    </w:p>
    <w:p w14:paraId="4A49C394">
      <w:pPr>
        <w:jc w:val="center"/>
      </w:pPr>
      <w:r>
        <w:rPr>
          <w:rFonts w:ascii="宋体" w:hAnsi="宋体" w:eastAsia="宋体"/>
          <w:b w:val="0"/>
          <w:sz w:val="21"/>
        </w:rPr>
        <w:t>图 综合查询-普通账号不显示下载按钮</w:t>
      </w:r>
    </w:p>
    <w:p w14:paraId="1F55D764">
      <w:pPr>
        <w:spacing w:line="360" w:lineRule="auto"/>
        <w:ind w:firstLine="420"/>
        <w:jc w:val="both"/>
      </w:pPr>
      <w:r>
        <w:rPr>
          <w:rFonts w:ascii="宋体" w:hAnsi="宋体" w:eastAsia="宋体"/>
          <w:sz w:val="24"/>
        </w:rPr>
        <w:t>设立对数据查看的权限，根据用户的所属国库，只支持查询本级和下级国库的数据。</w:t>
      </w:r>
    </w:p>
    <w:p w14:paraId="7F27012E">
      <w:pPr>
        <w:spacing w:line="360" w:lineRule="auto"/>
        <w:ind w:firstLine="420"/>
        <w:jc w:val="both"/>
      </w:pPr>
      <w:r>
        <w:rPr>
          <w:rFonts w:ascii="宋体" w:hAnsi="宋体" w:eastAsia="宋体"/>
          <w:b/>
          <w:color w:val="C00000"/>
          <w:sz w:val="24"/>
        </w:rPr>
        <w:t>【变更】</w:t>
      </w:r>
      <w:r>
        <w:rPr>
          <w:rFonts w:ascii="宋体" w:hAnsi="宋体" w:eastAsia="宋体"/>
          <w:b w:val="0"/>
          <w:sz w:val="24"/>
        </w:rPr>
        <w:t>综合查询树与数据表维护交互问题已修复，树形选择与维护操作更稳定。</w:t>
      </w:r>
    </w:p>
    <w:p w14:paraId="05E343A3">
      <w:pPr>
        <w:pStyle w:val="5"/>
        <w:numPr>
          <w:ilvl w:val="1"/>
          <w:numId w:val="7"/>
        </w:numPr>
      </w:pPr>
      <w:bookmarkStart w:id="36" w:name="_Toc131000370"/>
      <w:r>
        <w:rPr>
          <w:rFonts w:ascii="黑体" w:hAnsi="黑体" w:eastAsia="黑体"/>
          <w:b/>
          <w:sz w:val="28"/>
        </w:rPr>
        <w:t>过滤条件 IN 逻辑</w:t>
      </w:r>
      <w:bookmarkEnd w:id="36"/>
    </w:p>
    <w:p w14:paraId="42B6C574">
      <w:pPr>
        <w:spacing w:line="360" w:lineRule="auto"/>
        <w:ind w:firstLine="420"/>
        <w:jc w:val="both"/>
      </w:pPr>
      <w:r>
        <w:rPr>
          <w:rFonts w:ascii="宋体" w:hAnsi="宋体" w:eastAsia="宋体"/>
          <w:sz w:val="24"/>
        </w:rPr>
        <w:t>在过滤条件中支持 IN 逻辑，用于判断展示的数据范围。</w:t>
      </w:r>
    </w:p>
    <w:p w14:paraId="64B052C9">
      <w:pPr>
        <w:jc w:val="center"/>
      </w:pPr>
      <w:r>
        <w:drawing>
          <wp:inline distT="0" distB="0" distL="114300" distR="114300">
            <wp:extent cx="5039995" cy="1834515"/>
            <wp:effectExtent l="0" t="0" r="14605" b="196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35"/>
                    <a:stretch>
                      <a:fillRect/>
                    </a:stretch>
                  </pic:blipFill>
                  <pic:spPr>
                    <a:xfrm>
                      <a:off x="0" y="0"/>
                      <a:ext cx="5040000" cy="1834894"/>
                    </a:xfrm>
                    <a:prstGeom prst="rect">
                      <a:avLst/>
                    </a:prstGeom>
                  </pic:spPr>
                </pic:pic>
              </a:graphicData>
            </a:graphic>
          </wp:inline>
        </w:drawing>
      </w:r>
    </w:p>
    <w:p w14:paraId="0E887702">
      <w:pPr>
        <w:jc w:val="center"/>
      </w:pPr>
      <w:r>
        <w:rPr>
          <w:rFonts w:ascii="宋体" w:hAnsi="宋体" w:eastAsia="宋体"/>
          <w:b w:val="0"/>
          <w:sz w:val="21"/>
        </w:rPr>
        <w:t>图 筛选条件中的 IN 等过滤逻辑</w:t>
      </w:r>
    </w:p>
    <w:p w14:paraId="18788DE2">
      <w:pPr>
        <w:pStyle w:val="5"/>
        <w:numPr>
          <w:ilvl w:val="1"/>
          <w:numId w:val="7"/>
        </w:numPr>
      </w:pPr>
      <w:bookmarkStart w:id="37" w:name="_Toc552480415"/>
      <w:r>
        <w:rPr>
          <w:rFonts w:ascii="黑体" w:hAnsi="黑体" w:eastAsia="黑体"/>
          <w:b/>
          <w:sz w:val="28"/>
        </w:rPr>
        <w:t>电子退库信息表</w:t>
      </w:r>
      <w:bookmarkEnd w:id="37"/>
    </w:p>
    <w:p w14:paraId="3E1E4B24">
      <w:pPr>
        <w:spacing w:line="360" w:lineRule="auto"/>
        <w:ind w:firstLine="420"/>
        <w:jc w:val="both"/>
      </w:pPr>
      <w:r>
        <w:rPr>
          <w:rFonts w:ascii="宋体" w:hAnsi="宋体" w:eastAsia="宋体"/>
          <w:sz w:val="24"/>
        </w:rPr>
        <w:t>通过电子退库相关表抽取生成汇总查询表，便于业务核对。</w:t>
      </w:r>
    </w:p>
    <w:p w14:paraId="679FF127">
      <w:pPr>
        <w:pStyle w:val="4"/>
        <w:numPr>
          <w:ilvl w:val="0"/>
          <w:numId w:val="7"/>
        </w:numPr>
      </w:pPr>
      <w:bookmarkStart w:id="38" w:name="_Toc1966528924"/>
      <w:r>
        <w:rPr>
          <w:rFonts w:ascii="黑体" w:hAnsi="黑体" w:eastAsia="黑体"/>
          <w:b/>
          <w:sz w:val="32"/>
        </w:rPr>
        <w:t>动态刷数</w:t>
      </w:r>
      <w:bookmarkEnd w:id="38"/>
    </w:p>
    <w:p w14:paraId="3E38DCA6">
      <w:pPr>
        <w:spacing w:line="360" w:lineRule="auto"/>
        <w:ind w:firstLine="420"/>
        <w:jc w:val="both"/>
      </w:pPr>
      <w:r>
        <w:rPr>
          <w:rFonts w:ascii="宋体" w:hAnsi="宋体" w:eastAsia="宋体"/>
          <w:b/>
          <w:color w:val="C00000"/>
          <w:sz w:val="24"/>
        </w:rPr>
        <w:t>【变更】</w:t>
      </w:r>
      <w:r>
        <w:rPr>
          <w:rFonts w:ascii="宋体" w:hAnsi="宋体" w:eastAsia="宋体"/>
          <w:b w:val="0"/>
          <w:sz w:val="24"/>
        </w:rPr>
        <w:t>动态刷数页面与后端任务能力已按生产路径重建，支持在信创库环境下触发刷新并查看执行情况。</w:t>
      </w:r>
    </w:p>
    <w:p w14:paraId="1233446D">
      <w:pPr>
        <w:ind w:firstLine="0"/>
      </w:pPr>
      <w:r>
        <w:rPr>
          <w:rFonts w:ascii="宋体" w:hAnsi="宋体" w:eastAsia="宋体"/>
          <w:b/>
          <w:sz w:val="24"/>
        </w:rPr>
        <w:t>操作路径：</w:t>
      </w:r>
      <w:r>
        <w:rPr>
          <w:rFonts w:ascii="宋体" w:hAnsi="宋体" w:eastAsia="宋体"/>
          <w:sz w:val="24"/>
        </w:rPr>
        <w:t>系统菜单 → 动态刷数（以现场菜单名为准）</w:t>
      </w:r>
    </w:p>
    <w:p w14:paraId="6D89BCB3">
      <w:pPr>
        <w:spacing w:line="360" w:lineRule="auto"/>
        <w:ind w:firstLine="420"/>
        <w:jc w:val="both"/>
      </w:pPr>
      <w:r>
        <w:rPr>
          <w:rFonts w:ascii="宋体" w:hAnsi="宋体" w:eastAsia="宋体"/>
          <w:sz w:val="24"/>
        </w:rPr>
        <w:t>用于按业务账期触发分析侧刷数任务，查看任务状态，并对失败任务进行分析与重试（以授权为准）。</w:t>
      </w:r>
    </w:p>
    <w:p w14:paraId="08883DCD">
      <w:pPr>
        <w:spacing w:line="360" w:lineRule="auto"/>
        <w:ind w:firstLine="420"/>
        <w:jc w:val="both"/>
      </w:pPr>
      <w:r>
        <w:rPr>
          <w:rFonts w:ascii="宋体" w:hAnsi="宋体" w:eastAsia="宋体"/>
          <w:b/>
          <w:color w:val="C00000"/>
          <w:sz w:val="24"/>
        </w:rPr>
        <w:t>【变更】</w:t>
      </w:r>
      <w:r>
        <w:rPr>
          <w:rFonts w:ascii="宋体" w:hAnsi="宋体" w:eastAsia="宋体"/>
          <w:b w:val="0"/>
          <w:sz w:val="24"/>
        </w:rPr>
        <w:t>支持查看动态刷数运行历史/执行记录；状态颜色按约定显式区分成功、失败、执行中等。</w:t>
      </w:r>
    </w:p>
    <w:p w14:paraId="1E305D30">
      <w:pPr>
        <w:spacing w:line="360" w:lineRule="auto"/>
        <w:ind w:firstLine="420"/>
        <w:jc w:val="both"/>
      </w:pPr>
      <w:r>
        <w:rPr>
          <w:rFonts w:ascii="宋体" w:hAnsi="宋体" w:eastAsia="宋体"/>
          <w:b/>
          <w:color w:val="C00000"/>
          <w:sz w:val="24"/>
        </w:rPr>
        <w:t>【变更】</w:t>
      </w:r>
      <w:r>
        <w:rPr>
          <w:rFonts w:ascii="宋体" w:hAnsi="宋体" w:eastAsia="宋体"/>
          <w:b w:val="0"/>
          <w:sz w:val="24"/>
        </w:rPr>
        <w:t>菜单兼容路径已保留，避免升级后旧菜单失效。</w:t>
      </w:r>
    </w:p>
    <w:p w14:paraId="6F5DBE6F">
      <w:pPr>
        <w:pStyle w:val="4"/>
        <w:numPr>
          <w:ilvl w:val="0"/>
          <w:numId w:val="7"/>
        </w:numPr>
      </w:pPr>
      <w:bookmarkStart w:id="39" w:name="_Toc1678298338"/>
      <w:r>
        <w:rPr>
          <w:rFonts w:ascii="黑体" w:hAnsi="黑体" w:eastAsia="黑体"/>
          <w:b/>
          <w:sz w:val="32"/>
        </w:rPr>
        <w:t>数据上报</w:t>
      </w:r>
      <w:bookmarkEnd w:id="39"/>
    </w:p>
    <w:p w14:paraId="0F295F73">
      <w:pPr>
        <w:spacing w:line="360" w:lineRule="auto"/>
        <w:ind w:firstLine="420"/>
        <w:jc w:val="both"/>
      </w:pPr>
      <w:r>
        <w:rPr>
          <w:rFonts w:ascii="宋体" w:hAnsi="宋体" w:eastAsia="宋体"/>
          <w:b/>
          <w:color w:val="C00000"/>
          <w:sz w:val="24"/>
        </w:rPr>
        <w:t>【变更】</w:t>
      </w:r>
      <w:r>
        <w:rPr>
          <w:rFonts w:ascii="宋体" w:hAnsi="宋体" w:eastAsia="宋体"/>
          <w:b w:val="0"/>
          <w:sz w:val="24"/>
        </w:rPr>
        <w:t>原独立 agentKeyFileHandler 上报能力已并入本系统「数据上报」模块，统一使用本系统登录、菜单与国库数据范围，不再单独部署微服务作为业务入口。</w:t>
      </w:r>
    </w:p>
    <w:p w14:paraId="64C08B84">
      <w:pPr>
        <w:ind w:firstLine="0"/>
      </w:pPr>
      <w:r>
        <w:rPr>
          <w:rFonts w:ascii="宋体" w:hAnsi="宋体" w:eastAsia="宋体"/>
          <w:b/>
          <w:sz w:val="24"/>
        </w:rPr>
        <w:t>操作路径：</w:t>
      </w:r>
      <w:r>
        <w:rPr>
          <w:rFonts w:ascii="宋体" w:hAnsi="宋体" w:eastAsia="宋体"/>
          <w:sz w:val="24"/>
        </w:rPr>
        <w:t>系统菜单 → 数据上报</w:t>
      </w:r>
    </w:p>
    <w:p w14:paraId="7B777FD7">
      <w:pPr>
        <w:jc w:val="center"/>
      </w:pPr>
      <w:r>
        <w:drawing>
          <wp:inline distT="0" distB="0" distL="114300" distR="114300">
            <wp:extent cx="5219700" cy="2936240"/>
            <wp:effectExtent l="0" t="0" r="12700" b="101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36"/>
                    <a:stretch>
                      <a:fillRect/>
                    </a:stretch>
                  </pic:blipFill>
                  <pic:spPr>
                    <a:xfrm>
                      <a:off x="0" y="0"/>
                      <a:ext cx="5220000" cy="2936250"/>
                    </a:xfrm>
                    <a:prstGeom prst="rect">
                      <a:avLst/>
                    </a:prstGeom>
                  </pic:spPr>
                </pic:pic>
              </a:graphicData>
            </a:graphic>
          </wp:inline>
        </w:drawing>
      </w:r>
    </w:p>
    <w:p w14:paraId="5A8ADF38">
      <w:pPr>
        <w:jc w:val="center"/>
      </w:pPr>
      <w:r>
        <w:rPr>
          <w:rFonts w:ascii="宋体" w:hAnsi="宋体" w:eastAsia="宋体"/>
          <w:b w:val="0"/>
          <w:sz w:val="21"/>
        </w:rPr>
        <w:t>图 数据上报列表</w:t>
      </w:r>
    </w:p>
    <w:p w14:paraId="301DC0A2">
      <w:pPr>
        <w:pStyle w:val="5"/>
        <w:numPr>
          <w:ilvl w:val="1"/>
          <w:numId w:val="7"/>
        </w:numPr>
      </w:pPr>
      <w:bookmarkStart w:id="40" w:name="_Toc2109947068"/>
      <w:r>
        <w:rPr>
          <w:rFonts w:ascii="黑体" w:hAnsi="黑体" w:eastAsia="黑体"/>
          <w:b/>
          <w:sz w:val="28"/>
        </w:rPr>
        <w:t>上报范围与权限</w:t>
      </w:r>
      <w:bookmarkEnd w:id="40"/>
    </w:p>
    <w:p w14:paraId="65662D81">
      <w:pPr>
        <w:spacing w:line="360" w:lineRule="auto"/>
        <w:ind w:firstLine="420"/>
        <w:jc w:val="both"/>
      </w:pPr>
      <w:r>
        <w:rPr>
          <w:rFonts w:ascii="宋体" w:hAnsi="宋体" w:eastAsia="宋体"/>
          <w:b/>
          <w:color w:val="C00000"/>
          <w:sz w:val="24"/>
        </w:rPr>
        <w:t>【变更】</w:t>
      </w:r>
      <w:r>
        <w:rPr>
          <w:rFonts w:ascii="宋体" w:hAnsi="宋体" w:eastAsia="宋体"/>
          <w:b w:val="0"/>
          <w:sz w:val="24"/>
        </w:rPr>
        <w:t>列表与操作按当前用户国库范围过滤：门户登录使用核算主体映射的国库；本地登录使用用户 guoku_id。</w:t>
      </w:r>
    </w:p>
    <w:p w14:paraId="1CF65C35">
      <w:pPr>
        <w:spacing w:line="360" w:lineRule="auto"/>
        <w:ind w:firstLine="420"/>
        <w:jc w:val="both"/>
      </w:pPr>
      <w:r>
        <w:rPr>
          <w:rFonts w:ascii="宋体" w:hAnsi="宋体" w:eastAsia="宋体"/>
          <w:sz w:val="24"/>
        </w:rPr>
        <w:t>自动链路严格停在「解析 + STG 入库」。下游 ADM 加工过程不会被上传或扫描任务自动调用，只能由授权人员在页面按本批次账期手工调用。</w:t>
      </w:r>
    </w:p>
    <w:p w14:paraId="20A2455F">
      <w:pPr>
        <w:pStyle w:val="5"/>
        <w:numPr>
          <w:ilvl w:val="1"/>
          <w:numId w:val="7"/>
        </w:numPr>
      </w:pPr>
      <w:bookmarkStart w:id="41" w:name="_Toc482908965"/>
      <w:r>
        <w:rPr>
          <w:rFonts w:ascii="黑体" w:hAnsi="黑体" w:eastAsia="黑体"/>
          <w:b/>
          <w:sz w:val="28"/>
        </w:rPr>
        <w:t>新增上报</w:t>
      </w:r>
      <w:bookmarkEnd w:id="41"/>
    </w:p>
    <w:p w14:paraId="2F3D0EBB">
      <w:pPr>
        <w:spacing w:line="360" w:lineRule="auto"/>
        <w:ind w:firstLine="420"/>
        <w:jc w:val="both"/>
      </w:pPr>
      <w:r>
        <w:rPr>
          <w:rFonts w:ascii="宋体" w:hAnsi="宋体" w:eastAsia="宋体"/>
          <w:sz w:val="24"/>
        </w:rPr>
        <w:t>点击新增进入上报页面，选择上报类型（如 KEY / TIMS），上传 ZIP 压缩包并确认账期等信息后提交。</w:t>
      </w:r>
    </w:p>
    <w:p w14:paraId="3BC177B8">
      <w:pPr>
        <w:jc w:val="center"/>
      </w:pPr>
      <w:r>
        <w:drawing>
          <wp:inline distT="0" distB="0" distL="114300" distR="114300">
            <wp:extent cx="5219700" cy="2936240"/>
            <wp:effectExtent l="0" t="0" r="12700" b="1016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37"/>
                    <a:stretch>
                      <a:fillRect/>
                    </a:stretch>
                  </pic:blipFill>
                  <pic:spPr>
                    <a:xfrm>
                      <a:off x="0" y="0"/>
                      <a:ext cx="5220000" cy="2936250"/>
                    </a:xfrm>
                    <a:prstGeom prst="rect">
                      <a:avLst/>
                    </a:prstGeom>
                  </pic:spPr>
                </pic:pic>
              </a:graphicData>
            </a:graphic>
          </wp:inline>
        </w:drawing>
      </w:r>
    </w:p>
    <w:p w14:paraId="12BE66F5">
      <w:pPr>
        <w:jc w:val="center"/>
      </w:pPr>
      <w:r>
        <w:rPr>
          <w:rFonts w:ascii="宋体" w:hAnsi="宋体" w:eastAsia="宋体"/>
          <w:b w:val="0"/>
          <w:sz w:val="21"/>
        </w:rPr>
        <w:t>图 数据上报新增</w:t>
      </w:r>
    </w:p>
    <w:p w14:paraId="09CE9751">
      <w:pPr>
        <w:spacing w:line="360" w:lineRule="auto"/>
        <w:ind w:firstLine="420"/>
        <w:jc w:val="both"/>
      </w:pPr>
      <w:r>
        <w:rPr>
          <w:rFonts w:ascii="宋体" w:hAnsi="宋体" w:eastAsia="宋体"/>
          <w:b/>
          <w:color w:val="C00000"/>
          <w:sz w:val="24"/>
        </w:rPr>
        <w:t>【变更】</w:t>
      </w:r>
      <w:r>
        <w:rPr>
          <w:rFonts w:ascii="宋体" w:hAnsi="宋体" w:eastAsia="宋体"/>
          <w:b w:val="0"/>
          <w:sz w:val="24"/>
        </w:rPr>
        <w:t>ZIP 兼容性增强：支持更多压缩包结构；TIMS 可递归扫描 ZIP 内多层级 Excel（.xls/.xlsx），忽略 macOS 附属文件。</w:t>
      </w:r>
    </w:p>
    <w:p w14:paraId="476E85D5">
      <w:pPr>
        <w:spacing w:line="360" w:lineRule="auto"/>
        <w:ind w:firstLine="420"/>
        <w:jc w:val="both"/>
      </w:pPr>
      <w:r>
        <w:rPr>
          <w:rFonts w:ascii="宋体" w:hAnsi="宋体" w:eastAsia="宋体"/>
          <w:b/>
          <w:color w:val="C00000"/>
          <w:sz w:val="24"/>
        </w:rPr>
        <w:t>【变更】</w:t>
      </w:r>
      <w:r>
        <w:rPr>
          <w:rFonts w:ascii="宋体" w:hAnsi="宋体" w:eastAsia="宋体"/>
          <w:b w:val="0"/>
          <w:sz w:val="24"/>
        </w:rPr>
        <w:t>同类型同周期重复上报时，后一次成功包整周期替换前一次；收入、支出、库存三类互不影响。整包校验失败不写入 STG，旧周期数据保持不变。</w:t>
      </w:r>
    </w:p>
    <w:p w14:paraId="70FAA8AB">
      <w:pPr>
        <w:pStyle w:val="6"/>
        <w:numPr>
          <w:ilvl w:val="2"/>
          <w:numId w:val="7"/>
        </w:numPr>
      </w:pPr>
      <w:bookmarkStart w:id="42" w:name="_Toc910272742"/>
      <w:r>
        <w:rPr>
          <w:rFonts w:ascii="黑体" w:hAnsi="黑体" w:eastAsia="黑体"/>
          <w:b/>
          <w:sz w:val="24"/>
        </w:rPr>
        <w:t>KEY 上报要点</w:t>
      </w:r>
      <w:bookmarkEnd w:id="42"/>
    </w:p>
    <w:p w14:paraId="05E2BF7A">
      <w:pPr>
        <w:pStyle w:val="15"/>
      </w:pPr>
      <w:r>
        <w:rPr>
          <w:rFonts w:ascii="宋体" w:hAnsi="宋体" w:eastAsia="宋体"/>
          <w:sz w:val="24"/>
        </w:rPr>
        <w:t>上传 ZIP，原件归档并计算校验值。</w:t>
      </w:r>
    </w:p>
    <w:p w14:paraId="1FD8BB92">
      <w:pPr>
        <w:pStyle w:val="15"/>
      </w:pPr>
      <w:r>
        <w:rPr>
          <w:rFonts w:ascii="宋体" w:hAnsi="宋体" w:eastAsia="宋体"/>
          <w:sz w:val="24"/>
        </w:rPr>
        <w:t>从文件名规则识别业务日期与国库，与页面传值交叉校验。</w:t>
      </w:r>
    </w:p>
    <w:p w14:paraId="0974636A">
      <w:pPr>
        <w:pStyle w:val="15"/>
      </w:pPr>
      <w:r>
        <w:rPr>
          <w:rFonts w:ascii="宋体" w:hAnsi="宋体" w:eastAsia="宋体"/>
          <w:sz w:val="24"/>
        </w:rPr>
        <w:t>按文件名标识解析收入、支出、库存、退库等文本并写入对应明细。</w:t>
      </w:r>
    </w:p>
    <w:p w14:paraId="44653961">
      <w:pPr>
        <w:pStyle w:val="15"/>
      </w:pPr>
      <w:r>
        <w:rPr>
          <w:rFonts w:ascii="宋体" w:hAnsi="宋体" w:eastAsia="宋体"/>
          <w:sz w:val="24"/>
        </w:rPr>
        <w:t>保留 pending 文件名、行数、异常与处理状态，支持异常展示、下载、逻辑删除与按原批次重试。</w:t>
      </w:r>
    </w:p>
    <w:p w14:paraId="670F4A8A">
      <w:pPr>
        <w:pStyle w:val="6"/>
        <w:numPr>
          <w:ilvl w:val="2"/>
          <w:numId w:val="7"/>
        </w:numPr>
      </w:pPr>
      <w:bookmarkStart w:id="43" w:name="_Toc280473566"/>
      <w:r>
        <w:rPr>
          <w:rFonts w:ascii="黑体" w:hAnsi="黑体" w:eastAsia="黑体"/>
          <w:b/>
          <w:sz w:val="24"/>
        </w:rPr>
        <w:t>TIMS 上报要点</w:t>
      </w:r>
      <w:bookmarkEnd w:id="43"/>
    </w:p>
    <w:p w14:paraId="1472501D">
      <w:pPr>
        <w:pStyle w:val="15"/>
      </w:pPr>
      <w:r>
        <w:rPr>
          <w:rFonts w:ascii="宋体" w:hAnsi="宋体" w:eastAsia="宋体"/>
          <w:sz w:val="24"/>
        </w:rPr>
        <w:t>Excel 首行跳过，按固定列序解析，不按表头文字重排。</w:t>
      </w:r>
    </w:p>
    <w:p w14:paraId="263BBAB6">
      <w:pPr>
        <w:pStyle w:val="15"/>
      </w:pPr>
      <w:r>
        <w:rPr>
          <w:rFonts w:ascii="宋体" w:hAnsi="宋体" w:eastAsia="宋体"/>
          <w:sz w:val="24"/>
        </w:rPr>
        <w:t>收入/支出/库存写入对应 STG 表；金额按两位小数规则处理。</w:t>
      </w:r>
    </w:p>
    <w:p w14:paraId="085C3CEB">
      <w:pPr>
        <w:pStyle w:val="15"/>
      </w:pPr>
      <w:r>
        <w:rPr>
          <w:rFonts w:ascii="宋体" w:hAnsi="宋体" w:eastAsia="宋体"/>
          <w:sz w:val="24"/>
        </w:rPr>
        <w:t>页面账期为 yyyy-MM；STG 日期字段按约定写入 yyyyMM / yyyyMMdd 等格式。</w:t>
      </w:r>
    </w:p>
    <w:p w14:paraId="642BEA68">
      <w:pPr>
        <w:pStyle w:val="5"/>
        <w:numPr>
          <w:ilvl w:val="1"/>
          <w:numId w:val="7"/>
        </w:numPr>
      </w:pPr>
      <w:bookmarkStart w:id="44" w:name="_Toc192618597"/>
      <w:r>
        <w:rPr>
          <w:rFonts w:ascii="黑体" w:hAnsi="黑体" w:eastAsia="黑体"/>
          <w:b/>
          <w:sz w:val="28"/>
        </w:rPr>
        <w:t>解析情况</w:t>
      </w:r>
      <w:bookmarkEnd w:id="44"/>
    </w:p>
    <w:p w14:paraId="22F6DA85">
      <w:pPr>
        <w:spacing w:line="360" w:lineRule="auto"/>
        <w:ind w:firstLine="420"/>
        <w:jc w:val="both"/>
      </w:pPr>
      <w:r>
        <w:rPr>
          <w:rFonts w:ascii="宋体" w:hAnsi="宋体" w:eastAsia="宋体"/>
          <w:sz w:val="24"/>
        </w:rPr>
        <w:t>上报提交后可在详情中查看解析进度、成功行数与异常信息。</w:t>
      </w:r>
    </w:p>
    <w:p w14:paraId="096DB5E6">
      <w:pPr>
        <w:jc w:val="center"/>
      </w:pPr>
      <w:r>
        <w:drawing>
          <wp:inline distT="0" distB="0" distL="114300" distR="114300">
            <wp:extent cx="5219700" cy="2936240"/>
            <wp:effectExtent l="0" t="0" r="12700" b="1016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38"/>
                    <a:stretch>
                      <a:fillRect/>
                    </a:stretch>
                  </pic:blipFill>
                  <pic:spPr>
                    <a:xfrm>
                      <a:off x="0" y="0"/>
                      <a:ext cx="5220000" cy="2936250"/>
                    </a:xfrm>
                    <a:prstGeom prst="rect">
                      <a:avLst/>
                    </a:prstGeom>
                  </pic:spPr>
                </pic:pic>
              </a:graphicData>
            </a:graphic>
          </wp:inline>
        </w:drawing>
      </w:r>
    </w:p>
    <w:p w14:paraId="1C59D5B7">
      <w:pPr>
        <w:jc w:val="center"/>
      </w:pPr>
      <w:r>
        <w:rPr>
          <w:rFonts w:ascii="宋体" w:hAnsi="宋体" w:eastAsia="宋体"/>
          <w:b w:val="0"/>
          <w:sz w:val="21"/>
        </w:rPr>
        <w:t>图 解析情况（正常）</w:t>
      </w:r>
    </w:p>
    <w:p w14:paraId="780DF0D2">
      <w:pPr>
        <w:spacing w:line="360" w:lineRule="auto"/>
        <w:ind w:firstLine="420"/>
        <w:jc w:val="both"/>
      </w:pPr>
      <w:r>
        <w:rPr>
          <w:rFonts w:ascii="宋体" w:hAnsi="宋体" w:eastAsia="宋体"/>
          <w:sz w:val="24"/>
        </w:rPr>
        <w:t>若出现解析异常，可查看异常明细与总体异常汇总，便于核对源文件后重试。</w:t>
      </w:r>
    </w:p>
    <w:p w14:paraId="12CDD1F9">
      <w:pPr>
        <w:jc w:val="center"/>
      </w:pPr>
      <w:r>
        <w:drawing>
          <wp:inline distT="0" distB="0" distL="114300" distR="114300">
            <wp:extent cx="5219700" cy="2936240"/>
            <wp:effectExtent l="0" t="0" r="1270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39"/>
                    <a:stretch>
                      <a:fillRect/>
                    </a:stretch>
                  </pic:blipFill>
                  <pic:spPr>
                    <a:xfrm>
                      <a:off x="0" y="0"/>
                      <a:ext cx="5220000" cy="2936250"/>
                    </a:xfrm>
                    <a:prstGeom prst="rect">
                      <a:avLst/>
                    </a:prstGeom>
                  </pic:spPr>
                </pic:pic>
              </a:graphicData>
            </a:graphic>
          </wp:inline>
        </w:drawing>
      </w:r>
    </w:p>
    <w:p w14:paraId="3264F45C">
      <w:pPr>
        <w:jc w:val="center"/>
      </w:pPr>
      <w:r>
        <w:rPr>
          <w:rFonts w:ascii="宋体" w:hAnsi="宋体" w:eastAsia="宋体"/>
          <w:b w:val="0"/>
          <w:sz w:val="21"/>
        </w:rPr>
        <w:t>图 解析情况异常明细</w:t>
      </w:r>
    </w:p>
    <w:p w14:paraId="68897675">
      <w:pPr>
        <w:jc w:val="center"/>
      </w:pPr>
      <w:r>
        <w:drawing>
          <wp:inline distT="0" distB="0" distL="114300" distR="114300">
            <wp:extent cx="5219700" cy="2936240"/>
            <wp:effectExtent l="0" t="0" r="1270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40"/>
                    <a:stretch>
                      <a:fillRect/>
                    </a:stretch>
                  </pic:blipFill>
                  <pic:spPr>
                    <a:xfrm>
                      <a:off x="0" y="0"/>
                      <a:ext cx="5220000" cy="2936250"/>
                    </a:xfrm>
                    <a:prstGeom prst="rect">
                      <a:avLst/>
                    </a:prstGeom>
                  </pic:spPr>
                </pic:pic>
              </a:graphicData>
            </a:graphic>
          </wp:inline>
        </w:drawing>
      </w:r>
    </w:p>
    <w:p w14:paraId="703338B2">
      <w:pPr>
        <w:jc w:val="center"/>
      </w:pPr>
      <w:r>
        <w:rPr>
          <w:rFonts w:ascii="宋体" w:hAnsi="宋体" w:eastAsia="宋体"/>
          <w:b w:val="0"/>
          <w:sz w:val="21"/>
        </w:rPr>
        <w:t>图 解析情况异常总体</w:t>
      </w:r>
    </w:p>
    <w:p w14:paraId="52C90EF5">
      <w:pPr>
        <w:spacing w:line="360" w:lineRule="auto"/>
        <w:ind w:firstLine="420"/>
        <w:jc w:val="both"/>
      </w:pPr>
      <w:r>
        <w:rPr>
          <w:rFonts w:ascii="宋体" w:hAnsi="宋体" w:eastAsia="宋体"/>
          <w:b/>
          <w:color w:val="C00000"/>
          <w:sz w:val="24"/>
        </w:rPr>
        <w:t>【变更】</w:t>
      </w:r>
      <w:r>
        <w:rPr>
          <w:rFonts w:ascii="宋体" w:hAnsi="宋体" w:eastAsia="宋体"/>
          <w:b w:val="0"/>
          <w:sz w:val="24"/>
        </w:rPr>
        <w:t>批次详情展示已优化，便于核对解析结果与失败原因。</w:t>
      </w:r>
    </w:p>
    <w:p w14:paraId="031B0392">
      <w:pPr>
        <w:pStyle w:val="5"/>
        <w:numPr>
          <w:ilvl w:val="1"/>
          <w:numId w:val="7"/>
        </w:numPr>
      </w:pPr>
      <w:bookmarkStart w:id="45" w:name="_Toc1082903750"/>
      <w:r>
        <w:rPr>
          <w:rFonts w:ascii="黑体" w:hAnsi="黑体" w:eastAsia="黑体"/>
          <w:b/>
          <w:sz w:val="28"/>
        </w:rPr>
        <w:t>手工 ADM 加工</w:t>
      </w:r>
      <w:bookmarkEnd w:id="45"/>
    </w:p>
    <w:p w14:paraId="35FF602E">
      <w:pPr>
        <w:spacing w:line="360" w:lineRule="auto"/>
        <w:ind w:firstLine="420"/>
        <w:jc w:val="both"/>
      </w:pPr>
      <w:r>
        <w:rPr>
          <w:rFonts w:ascii="宋体" w:hAnsi="宋体" w:eastAsia="宋体"/>
          <w:b/>
          <w:color w:val="C00000"/>
          <w:sz w:val="24"/>
        </w:rPr>
        <w:t>【变更】</w:t>
      </w:r>
      <w:r>
        <w:rPr>
          <w:rFonts w:ascii="宋体" w:hAnsi="宋体" w:eastAsia="宋体"/>
          <w:b w:val="0"/>
          <w:sz w:val="24"/>
        </w:rPr>
        <w:t>STG 成功后，批次可进入等待手工加工状态。页面不提供自由账期输入，服务端从原批次取月末日，在依赖核验通过后调用约定存储过程完成加工。</w:t>
      </w:r>
    </w:p>
    <w:p w14:paraId="05C0889E">
      <w:pPr>
        <w:ind w:firstLine="0"/>
      </w:pPr>
      <w:r>
        <w:rPr>
          <w:rFonts w:ascii="宋体" w:hAnsi="宋体" w:eastAsia="宋体"/>
          <w:b/>
          <w:sz w:val="24"/>
        </w:rPr>
        <w:t>说明：</w:t>
      </w:r>
      <w:r>
        <w:rPr>
          <w:rFonts w:ascii="宋体" w:hAnsi="宋体" w:eastAsia="宋体"/>
          <w:sz w:val="24"/>
        </w:rPr>
        <w:t>PROCESS 超时仅标记失败，系统不自动重放外部过程；需运维核对 ETL/ADM 实际结果后再决定是否再次调用。</w:t>
      </w:r>
    </w:p>
    <w:p w14:paraId="1A9C2A7F">
      <w:pPr>
        <w:pStyle w:val="4"/>
        <w:numPr>
          <w:ilvl w:val="0"/>
          <w:numId w:val="7"/>
        </w:numPr>
      </w:pPr>
      <w:bookmarkStart w:id="46" w:name="_Toc439417925"/>
      <w:r>
        <w:rPr>
          <w:rFonts w:ascii="黑体" w:hAnsi="黑体" w:eastAsia="黑体"/>
          <w:b/>
          <w:sz w:val="32"/>
        </w:rPr>
        <w:t>数据源与运行环境说明</w:t>
      </w:r>
      <w:bookmarkEnd w:id="46"/>
    </w:p>
    <w:p w14:paraId="327BCB4C">
      <w:pPr>
        <w:spacing w:line="360" w:lineRule="auto"/>
        <w:ind w:firstLine="420"/>
        <w:jc w:val="both"/>
      </w:pPr>
      <w:r>
        <w:rPr>
          <w:rFonts w:ascii="宋体" w:hAnsi="宋体" w:eastAsia="宋体"/>
          <w:b/>
          <w:color w:val="C00000"/>
          <w:sz w:val="24"/>
        </w:rPr>
        <w:t>【变更】</w:t>
      </w:r>
      <w:r>
        <w:rPr>
          <w:rFonts w:ascii="宋体" w:hAnsi="宋体" w:eastAsia="宋体"/>
          <w:b w:val="0"/>
          <w:sz w:val="24"/>
        </w:rPr>
        <w:t>业务库由原 MySQL 迁移/适配至 Vastbase G100；相关存储过程、定时调度说明与初始化脚本已按国产库语法调整。</w:t>
      </w:r>
    </w:p>
    <w:p w14:paraId="4DE61FD6">
      <w:pPr>
        <w:spacing w:line="360" w:lineRule="auto"/>
        <w:ind w:firstLine="420"/>
        <w:jc w:val="both"/>
      </w:pPr>
      <w:r>
        <w:rPr>
          <w:rFonts w:ascii="宋体" w:hAnsi="宋体" w:eastAsia="宋体"/>
          <w:b/>
          <w:color w:val="C00000"/>
          <w:sz w:val="24"/>
        </w:rPr>
        <w:t>【变更】</w:t>
      </w:r>
      <w:r>
        <w:rPr>
          <w:rFonts w:ascii="宋体" w:hAnsi="宋体" w:eastAsia="宋体"/>
          <w:b w:val="0"/>
          <w:sz w:val="24"/>
        </w:rPr>
        <w:t>数据源配置界面支持选择/配置 Vastbase（PostgreSQL JDBC）及 schema，并可浏览 schema 与表元数据；元数据浏览行为已与现场对齐。</w:t>
      </w:r>
    </w:p>
    <w:p w14:paraId="4CE6446D">
      <w:pPr>
        <w:spacing w:line="360" w:lineRule="auto"/>
        <w:ind w:firstLine="420"/>
        <w:jc w:val="both"/>
      </w:pPr>
      <w:r>
        <w:rPr>
          <w:rFonts w:ascii="宋体" w:hAnsi="宋体" w:eastAsia="宋体"/>
          <w:b/>
          <w:color w:val="C00000"/>
          <w:sz w:val="24"/>
        </w:rPr>
        <w:t>【变更】</w:t>
      </w:r>
      <w:r>
        <w:rPr>
          <w:rFonts w:ascii="宋体" w:hAnsi="宋体" w:eastAsia="宋体"/>
          <w:b w:val="0"/>
          <w:sz w:val="24"/>
        </w:rPr>
        <w:t>固定报表等模块对尾随空格等兼容性已按约定处理，避免账期匹配偏差。</w:t>
      </w:r>
    </w:p>
    <w:p w14:paraId="1A3BD69D">
      <w:pPr>
        <w:ind w:firstLine="0"/>
      </w:pPr>
      <w:r>
        <w:rPr>
          <w:rFonts w:ascii="宋体" w:hAnsi="宋体" w:eastAsia="宋体"/>
          <w:b/>
          <w:sz w:val="24"/>
        </w:rPr>
        <w:t>说明：</w:t>
      </w:r>
      <w:r>
        <w:rPr>
          <w:rFonts w:ascii="宋体" w:hAnsi="宋体" w:eastAsia="宋体"/>
          <w:sz w:val="24"/>
        </w:rPr>
        <w:t>定时任务原 MySQL EVENT 在 Vastbase 侧需改为外部调度调用对应 CALL 过程，具体以运维部署说明为准。</w:t>
      </w:r>
    </w:p>
    <w:p w14:paraId="1991F1D2">
      <w:pPr>
        <w:pStyle w:val="4"/>
        <w:numPr>
          <w:ilvl w:val="0"/>
          <w:numId w:val="7"/>
        </w:numPr>
      </w:pPr>
      <w:bookmarkStart w:id="47" w:name="_Toc100803442"/>
      <w:r>
        <w:rPr>
          <w:rFonts w:ascii="黑体" w:hAnsi="黑体" w:eastAsia="黑体"/>
          <w:b/>
          <w:sz w:val="32"/>
        </w:rPr>
        <w:t>信创改造与优化变更汇总</w:t>
      </w:r>
      <w:bookmarkEnd w:id="47"/>
    </w:p>
    <w:p w14:paraId="3F09D8A5">
      <w:pPr>
        <w:spacing w:line="360" w:lineRule="auto"/>
        <w:ind w:firstLine="420"/>
        <w:jc w:val="both"/>
      </w:pPr>
      <w:r>
        <w:rPr>
          <w:rFonts w:ascii="宋体" w:hAnsi="宋体" w:eastAsia="宋体"/>
          <w:sz w:val="24"/>
        </w:rPr>
        <w:t>以下按主题汇总自 Git 建库以来与用户操作相关的主要变更，便于对照验收。技术实现细节不在本手册展开。</w:t>
      </w:r>
    </w:p>
    <w:p w14:paraId="3397DC71">
      <w:pPr>
        <w:pStyle w:val="5"/>
        <w:numPr>
          <w:ilvl w:val="1"/>
          <w:numId w:val="7"/>
        </w:numPr>
      </w:pPr>
      <w:bookmarkStart w:id="48" w:name="_Toc1986335858"/>
      <w:r>
        <w:rPr>
          <w:rFonts w:ascii="黑体" w:hAnsi="黑体" w:eastAsia="黑体"/>
          <w:b/>
          <w:sz w:val="28"/>
        </w:rPr>
        <w:t>登录认证与权限</w:t>
      </w:r>
      <w:bookmarkEnd w:id="48"/>
    </w:p>
    <w:p w14:paraId="41C2BF64">
      <w:pPr>
        <w:pStyle w:val="17"/>
      </w:pPr>
      <w:r>
        <w:rPr>
          <w:rFonts w:ascii="宋体" w:hAnsi="宋体" w:eastAsia="宋体"/>
          <w:b/>
          <w:color w:val="C00000"/>
          <w:sz w:val="24"/>
        </w:rPr>
        <w:t>【变更】</w:t>
      </w:r>
      <w:r>
        <w:rPr>
          <w:rFonts w:ascii="宋体" w:hAnsi="宋体" w:eastAsia="宋体"/>
          <w:sz w:val="24"/>
        </w:rPr>
        <w:t>门户 OAuth 单点登录；菜单与授权依赖门户权限同步。</w:t>
      </w:r>
    </w:p>
    <w:p w14:paraId="3E908C33">
      <w:pPr>
        <w:pStyle w:val="17"/>
      </w:pPr>
      <w:r>
        <w:rPr>
          <w:rFonts w:ascii="宋体" w:hAnsi="宋体" w:eastAsia="宋体"/>
          <w:b/>
          <w:color w:val="C00000"/>
          <w:sz w:val="24"/>
        </w:rPr>
        <w:t>【变更】</w:t>
      </w:r>
      <w:r>
        <w:rPr>
          <w:rFonts w:ascii="宋体" w:hAnsi="宋体" w:eastAsia="宋体"/>
          <w:sz w:val="24"/>
        </w:rPr>
        <w:t>门户用户免本地建档登录；本地用户路径保留。</w:t>
      </w:r>
    </w:p>
    <w:p w14:paraId="12F3FB1D">
      <w:pPr>
        <w:pStyle w:val="17"/>
      </w:pPr>
      <w:r>
        <w:rPr>
          <w:rFonts w:ascii="宋体" w:hAnsi="宋体" w:eastAsia="宋体"/>
          <w:b/>
          <w:color w:val="C00000"/>
          <w:sz w:val="24"/>
        </w:rPr>
        <w:t>【变更】</w:t>
      </w:r>
      <w:r>
        <w:rPr>
          <w:rFonts w:ascii="宋体" w:hAnsi="宋体" w:eastAsia="宋体"/>
          <w:sz w:val="24"/>
        </w:rPr>
        <w:t>用户/角色维护上收门户；本系统角色管理不再作为主流程。</w:t>
      </w:r>
    </w:p>
    <w:p w14:paraId="2DCE6096">
      <w:pPr>
        <w:pStyle w:val="17"/>
      </w:pPr>
      <w:r>
        <w:rPr>
          <w:rFonts w:ascii="宋体" w:hAnsi="宋体" w:eastAsia="宋体"/>
          <w:b/>
          <w:color w:val="C00000"/>
          <w:sz w:val="24"/>
        </w:rPr>
        <w:t>【变更】</w:t>
      </w:r>
      <w:r>
        <w:rPr>
          <w:rFonts w:ascii="宋体" w:hAnsi="宋体" w:eastAsia="宋体"/>
          <w:sz w:val="24"/>
        </w:rPr>
        <w:t>本地与门户顶栏菜单顺序统一。</w:t>
      </w:r>
    </w:p>
    <w:p w14:paraId="4986401A">
      <w:pPr>
        <w:pStyle w:val="17"/>
      </w:pPr>
      <w:r>
        <w:rPr>
          <w:rFonts w:ascii="宋体" w:hAnsi="宋体" w:eastAsia="宋体"/>
          <w:b/>
          <w:color w:val="C00000"/>
          <w:sz w:val="24"/>
        </w:rPr>
        <w:t>【变更】</w:t>
      </w:r>
      <w:r>
        <w:rPr>
          <w:rFonts w:ascii="宋体" w:hAnsi="宋体" w:eastAsia="宋体"/>
          <w:sz w:val="24"/>
        </w:rPr>
        <w:t>上报与指标查询国库范围：门户 subject_code / 本地 guoku_id 双路径。</w:t>
      </w:r>
    </w:p>
    <w:p w14:paraId="58A850D6">
      <w:pPr>
        <w:pStyle w:val="5"/>
        <w:numPr>
          <w:ilvl w:val="1"/>
          <w:numId w:val="7"/>
        </w:numPr>
      </w:pPr>
      <w:bookmarkStart w:id="49" w:name="_Toc1713472791"/>
      <w:r>
        <w:rPr>
          <w:rFonts w:ascii="黑体" w:hAnsi="黑体" w:eastAsia="黑体"/>
          <w:b/>
          <w:sz w:val="28"/>
        </w:rPr>
        <w:t>系统整合与可视化</w:t>
      </w:r>
      <w:bookmarkEnd w:id="49"/>
    </w:p>
    <w:p w14:paraId="7C33290F">
      <w:pPr>
        <w:pStyle w:val="17"/>
      </w:pPr>
      <w:r>
        <w:rPr>
          <w:rFonts w:ascii="宋体" w:hAnsi="宋体" w:eastAsia="宋体"/>
          <w:b/>
          <w:color w:val="C00000"/>
          <w:sz w:val="24"/>
        </w:rPr>
        <w:t>【变更】</w:t>
      </w:r>
      <w:r>
        <w:rPr>
          <w:rFonts w:ascii="宋体" w:hAnsi="宋体" w:eastAsia="宋体"/>
          <w:sz w:val="24"/>
        </w:rPr>
        <w:t>可视化子系统整合进统一平台菜单与网关。</w:t>
      </w:r>
    </w:p>
    <w:p w14:paraId="3A134189">
      <w:pPr>
        <w:pStyle w:val="17"/>
      </w:pPr>
      <w:r>
        <w:rPr>
          <w:rFonts w:ascii="宋体" w:hAnsi="宋体" w:eastAsia="宋体"/>
          <w:b/>
          <w:color w:val="C00000"/>
          <w:sz w:val="24"/>
        </w:rPr>
        <w:t>【变更】</w:t>
      </w:r>
      <w:r>
        <w:rPr>
          <w:rFonts w:ascii="宋体" w:hAnsi="宋体" w:eastAsia="宋体"/>
          <w:sz w:val="24"/>
        </w:rPr>
        <w:t>指标库方案/转图/图库按生产契约恢复，适配 Vastbase。</w:t>
      </w:r>
    </w:p>
    <w:p w14:paraId="4F880D75">
      <w:pPr>
        <w:pStyle w:val="17"/>
      </w:pPr>
      <w:r>
        <w:rPr>
          <w:rFonts w:ascii="宋体" w:hAnsi="宋体" w:eastAsia="宋体"/>
          <w:b/>
          <w:color w:val="C00000"/>
          <w:sz w:val="24"/>
        </w:rPr>
        <w:t>【变更】</w:t>
      </w:r>
      <w:r>
        <w:rPr>
          <w:rFonts w:ascii="宋体" w:hAnsi="宋体" w:eastAsia="宋体"/>
          <w:sz w:val="24"/>
        </w:rPr>
        <w:t>大屏字段大小写、地图与交互稳定性修复。</w:t>
      </w:r>
    </w:p>
    <w:p w14:paraId="6E400213">
      <w:pPr>
        <w:pStyle w:val="17"/>
      </w:pPr>
      <w:r>
        <w:rPr>
          <w:rFonts w:ascii="宋体" w:hAnsi="宋体" w:eastAsia="宋体"/>
          <w:b/>
          <w:color w:val="C00000"/>
          <w:sz w:val="24"/>
        </w:rPr>
        <w:t>【变更】</w:t>
      </w:r>
      <w:r>
        <w:rPr>
          <w:rFonts w:ascii="宋体" w:hAnsi="宋体" w:eastAsia="宋体"/>
          <w:sz w:val="24"/>
        </w:rPr>
        <w:t>展示方案管理与预览纳入统一操作说明。</w:t>
      </w:r>
    </w:p>
    <w:p w14:paraId="0D4062E2">
      <w:pPr>
        <w:pStyle w:val="5"/>
        <w:numPr>
          <w:ilvl w:val="1"/>
          <w:numId w:val="7"/>
        </w:numPr>
      </w:pPr>
      <w:bookmarkStart w:id="50" w:name="_Toc581492067"/>
      <w:r>
        <w:rPr>
          <w:rFonts w:ascii="黑体" w:hAnsi="黑体" w:eastAsia="黑体"/>
          <w:b/>
          <w:sz w:val="28"/>
        </w:rPr>
        <w:t>指标、报告与综合查询</w:t>
      </w:r>
      <w:bookmarkEnd w:id="50"/>
    </w:p>
    <w:p w14:paraId="1B067884">
      <w:pPr>
        <w:pStyle w:val="17"/>
      </w:pPr>
      <w:r>
        <w:rPr>
          <w:rFonts w:ascii="宋体" w:hAnsi="宋体" w:eastAsia="宋体"/>
          <w:b/>
          <w:color w:val="C00000"/>
          <w:sz w:val="24"/>
        </w:rPr>
        <w:t>【变更】</w:t>
      </w:r>
      <w:r>
        <w:rPr>
          <w:rFonts w:ascii="宋体" w:hAnsi="宋体" w:eastAsia="宋体"/>
          <w:sz w:val="24"/>
        </w:rPr>
        <w:t>指标查询生产入口恢复与权限 SQL 迁移。</w:t>
      </w:r>
    </w:p>
    <w:p w14:paraId="43379A59">
      <w:pPr>
        <w:pStyle w:val="17"/>
      </w:pPr>
      <w:r>
        <w:rPr>
          <w:rFonts w:ascii="宋体" w:hAnsi="宋体" w:eastAsia="宋体"/>
          <w:b/>
          <w:color w:val="C00000"/>
          <w:sz w:val="24"/>
        </w:rPr>
        <w:t>【变更】</w:t>
      </w:r>
      <w:r>
        <w:rPr>
          <w:rFonts w:ascii="宋体" w:hAnsi="宋体" w:eastAsia="宋体"/>
          <w:sz w:val="24"/>
        </w:rPr>
        <w:t>指标查询按身份叠加国库范围；分类不可查、缺表指标拒绝查询。</w:t>
      </w:r>
    </w:p>
    <w:p w14:paraId="11B7DB64">
      <w:pPr>
        <w:pStyle w:val="17"/>
      </w:pPr>
      <w:r>
        <w:rPr>
          <w:rFonts w:ascii="宋体" w:hAnsi="宋体" w:eastAsia="宋体"/>
          <w:b/>
          <w:color w:val="C00000"/>
          <w:sz w:val="24"/>
        </w:rPr>
        <w:t>【变更】</w:t>
      </w:r>
      <w:r>
        <w:rPr>
          <w:rFonts w:ascii="宋体" w:hAnsi="宋体" w:eastAsia="宋体"/>
          <w:sz w:val="24"/>
        </w:rPr>
        <w:t>智能报表适配修复；综合查询树与表维护交互修复。</w:t>
      </w:r>
    </w:p>
    <w:p w14:paraId="6103422C">
      <w:pPr>
        <w:pStyle w:val="5"/>
        <w:numPr>
          <w:ilvl w:val="1"/>
          <w:numId w:val="7"/>
        </w:numPr>
      </w:pPr>
      <w:bookmarkStart w:id="51" w:name="_Toc2086576219"/>
      <w:r>
        <w:rPr>
          <w:rFonts w:ascii="黑体" w:hAnsi="黑体" w:eastAsia="黑体"/>
          <w:b/>
          <w:sz w:val="28"/>
        </w:rPr>
        <w:t>动态刷数与数据上报</w:t>
      </w:r>
      <w:bookmarkEnd w:id="51"/>
    </w:p>
    <w:p w14:paraId="0EAF26C0">
      <w:pPr>
        <w:pStyle w:val="17"/>
      </w:pPr>
      <w:r>
        <w:rPr>
          <w:rFonts w:ascii="宋体" w:hAnsi="宋体" w:eastAsia="宋体"/>
          <w:b/>
          <w:color w:val="C00000"/>
          <w:sz w:val="24"/>
        </w:rPr>
        <w:t>【变更】</w:t>
      </w:r>
      <w:r>
        <w:rPr>
          <w:rFonts w:ascii="宋体" w:hAnsi="宋体" w:eastAsia="宋体"/>
          <w:sz w:val="24"/>
        </w:rPr>
        <w:t>动态刷数页面/任务/运行历史/状态颜色。</w:t>
      </w:r>
    </w:p>
    <w:p w14:paraId="54347F86">
      <w:pPr>
        <w:pStyle w:val="17"/>
      </w:pPr>
      <w:r>
        <w:rPr>
          <w:rFonts w:ascii="宋体" w:hAnsi="宋体" w:eastAsia="宋体"/>
          <w:b/>
          <w:color w:val="C00000"/>
          <w:sz w:val="24"/>
        </w:rPr>
        <w:t>【变更】</w:t>
      </w:r>
      <w:r>
        <w:rPr>
          <w:rFonts w:ascii="宋体" w:hAnsi="宋体" w:eastAsia="宋体"/>
          <w:sz w:val="24"/>
        </w:rPr>
        <w:t>KEY/TIMS 数据上报并入主系统；解析详情与异常展示；手工 ADM。</w:t>
      </w:r>
    </w:p>
    <w:p w14:paraId="5F1DB4F2">
      <w:pPr>
        <w:pStyle w:val="17"/>
      </w:pPr>
      <w:r>
        <w:rPr>
          <w:rFonts w:ascii="宋体" w:hAnsi="宋体" w:eastAsia="宋体"/>
          <w:b/>
          <w:color w:val="C00000"/>
          <w:sz w:val="24"/>
        </w:rPr>
        <w:t>【变更】</w:t>
      </w:r>
      <w:r>
        <w:rPr>
          <w:rFonts w:ascii="宋体" w:hAnsi="宋体" w:eastAsia="宋体"/>
          <w:sz w:val="24"/>
        </w:rPr>
        <w:t>ZIP/Excel 兼容与批次详情优化。</w:t>
      </w:r>
    </w:p>
    <w:p w14:paraId="0F9BE0EA">
      <w:pPr>
        <w:pStyle w:val="5"/>
        <w:numPr>
          <w:ilvl w:val="1"/>
          <w:numId w:val="7"/>
        </w:numPr>
      </w:pPr>
      <w:bookmarkStart w:id="52" w:name="_Toc678557223"/>
      <w:r>
        <w:rPr>
          <w:rFonts w:ascii="黑体" w:hAnsi="黑体" w:eastAsia="黑体"/>
          <w:b/>
          <w:sz w:val="28"/>
        </w:rPr>
        <w:t>数据库与数据源</w:t>
      </w:r>
      <w:bookmarkEnd w:id="52"/>
    </w:p>
    <w:p w14:paraId="5E2AE97C">
      <w:pPr>
        <w:pStyle w:val="17"/>
      </w:pPr>
      <w:r>
        <w:rPr>
          <w:rFonts w:ascii="宋体" w:hAnsi="宋体" w:eastAsia="宋体"/>
          <w:b/>
          <w:color w:val="C00000"/>
          <w:sz w:val="24"/>
        </w:rPr>
        <w:t>【变更】</w:t>
      </w:r>
      <w:r>
        <w:rPr>
          <w:rFonts w:ascii="宋体" w:hAnsi="宋体" w:eastAsia="宋体"/>
          <w:sz w:val="24"/>
        </w:rPr>
        <w:t>Vastbase 连接、schema 配置与元数据浏览。</w:t>
      </w:r>
    </w:p>
    <w:p w14:paraId="5379B935">
      <w:pPr>
        <w:pStyle w:val="17"/>
      </w:pPr>
      <w:r>
        <w:rPr>
          <w:rFonts w:ascii="宋体" w:hAnsi="宋体" w:eastAsia="宋体"/>
          <w:b/>
          <w:color w:val="C00000"/>
          <w:sz w:val="24"/>
        </w:rPr>
        <w:t>【变更】</w:t>
      </w:r>
      <w:r>
        <w:rPr>
          <w:rFonts w:ascii="宋体" w:hAnsi="宋体" w:eastAsia="宋体"/>
          <w:sz w:val="24"/>
        </w:rPr>
        <w:t>存储过程与调度初始化脚本国产化适配。</w:t>
      </w:r>
    </w:p>
    <w:p w14:paraId="03A5C084">
      <w:pPr>
        <w:pStyle w:val="4"/>
        <w:numPr>
          <w:ilvl w:val="0"/>
          <w:numId w:val="7"/>
        </w:numPr>
      </w:pPr>
      <w:bookmarkStart w:id="53" w:name="_Toc1373081391"/>
      <w:r>
        <w:rPr>
          <w:rFonts w:ascii="黑体" w:hAnsi="黑体" w:eastAsia="黑体"/>
          <w:b/>
          <w:sz w:val="32"/>
        </w:rPr>
        <w:t>常见问题</w:t>
      </w:r>
      <w:bookmarkEnd w:id="53"/>
    </w:p>
    <w:p w14:paraId="347B7E91">
      <w:pPr>
        <w:pStyle w:val="5"/>
        <w:numPr>
          <w:ilvl w:val="1"/>
          <w:numId w:val="7"/>
        </w:numPr>
      </w:pPr>
      <w:bookmarkStart w:id="54" w:name="_Toc519667875"/>
      <w:r>
        <w:rPr>
          <w:rFonts w:ascii="黑体" w:hAnsi="黑体" w:eastAsia="黑体"/>
          <w:b/>
          <w:sz w:val="28"/>
        </w:rPr>
        <w:t>门户跳转后提示无权限或菜单为空</w:t>
      </w:r>
      <w:bookmarkEnd w:id="54"/>
    </w:p>
    <w:p w14:paraId="21009020">
      <w:pPr>
        <w:spacing w:line="360" w:lineRule="auto"/>
        <w:ind w:firstLine="420"/>
        <w:jc w:val="both"/>
      </w:pPr>
      <w:r>
        <w:rPr>
          <w:rFonts w:ascii="宋体" w:hAnsi="宋体" w:eastAsia="宋体"/>
          <w:sz w:val="24"/>
        </w:rPr>
        <w:t>请在门户支撑子系统检查该用户是否已授予本系统相关角色与权限节点，并确认入口卡片已授权。</w:t>
      </w:r>
    </w:p>
    <w:p w14:paraId="3CA0201C">
      <w:pPr>
        <w:pStyle w:val="5"/>
        <w:numPr>
          <w:ilvl w:val="1"/>
          <w:numId w:val="7"/>
        </w:numPr>
      </w:pPr>
      <w:bookmarkStart w:id="55" w:name="_Toc241982776"/>
      <w:r>
        <w:rPr>
          <w:rFonts w:ascii="黑体" w:hAnsi="黑体" w:eastAsia="黑体"/>
          <w:b/>
          <w:sz w:val="28"/>
        </w:rPr>
        <w:t>能登录但查询/上报提示无法确定国库范围</w:t>
      </w:r>
      <w:bookmarkEnd w:id="55"/>
    </w:p>
    <w:p w14:paraId="7495E411">
      <w:pPr>
        <w:spacing w:line="360" w:lineRule="auto"/>
        <w:ind w:firstLine="420"/>
        <w:jc w:val="both"/>
      </w:pPr>
      <w:r>
        <w:rPr>
          <w:rFonts w:ascii="宋体" w:hAnsi="宋体" w:eastAsia="宋体"/>
          <w:b/>
          <w:color w:val="C00000"/>
          <w:sz w:val="24"/>
        </w:rPr>
        <w:t>【变更】</w:t>
      </w:r>
      <w:r>
        <w:rPr>
          <w:rFonts w:ascii="宋体" w:hAnsi="宋体" w:eastAsia="宋体"/>
          <w:b w:val="0"/>
          <w:sz w:val="24"/>
        </w:rPr>
        <w:t>门户用户请确认核算主体可映射到本地国库维表；本地用户请确认用户资料已配置所属国库。</w:t>
      </w:r>
    </w:p>
    <w:p w14:paraId="2C3A3FBE">
      <w:pPr>
        <w:pStyle w:val="5"/>
        <w:numPr>
          <w:ilvl w:val="1"/>
          <w:numId w:val="7"/>
        </w:numPr>
      </w:pPr>
      <w:bookmarkStart w:id="56" w:name="_Toc1817972461"/>
      <w:r>
        <w:rPr>
          <w:rFonts w:ascii="黑体" w:hAnsi="黑体" w:eastAsia="黑体"/>
          <w:b/>
          <w:sz w:val="28"/>
        </w:rPr>
        <w:t>指标转图或查询无数据/报错</w:t>
      </w:r>
      <w:bookmarkEnd w:id="56"/>
    </w:p>
    <w:p w14:paraId="732BDE5A">
      <w:pPr>
        <w:spacing w:line="360" w:lineRule="auto"/>
        <w:ind w:firstLine="420"/>
        <w:jc w:val="both"/>
      </w:pPr>
      <w:r>
        <w:rPr>
          <w:rFonts w:ascii="宋体" w:hAnsi="宋体" w:eastAsia="宋体"/>
          <w:sz w:val="24"/>
        </w:rPr>
        <w:t>确认指标存在对应数据表与权限；已保存方案需已完成 Vastbase SQL 迁移。可联系管理员核对数仓账期与刷数是否完成。</w:t>
      </w:r>
    </w:p>
    <w:p w14:paraId="323455BF">
      <w:pPr>
        <w:pStyle w:val="5"/>
        <w:numPr>
          <w:ilvl w:val="1"/>
          <w:numId w:val="7"/>
        </w:numPr>
      </w:pPr>
      <w:bookmarkStart w:id="57" w:name="_Toc265822511"/>
      <w:r>
        <w:rPr>
          <w:rFonts w:ascii="黑体" w:hAnsi="黑体" w:eastAsia="黑体"/>
          <w:b/>
          <w:sz w:val="28"/>
        </w:rPr>
        <w:t>数据上报解析失败</w:t>
      </w:r>
      <w:bookmarkEnd w:id="57"/>
    </w:p>
    <w:p w14:paraId="38538DD8">
      <w:pPr>
        <w:spacing w:line="360" w:lineRule="auto"/>
        <w:ind w:firstLine="420"/>
        <w:jc w:val="both"/>
      </w:pPr>
      <w:r>
        <w:rPr>
          <w:rFonts w:ascii="宋体" w:hAnsi="宋体" w:eastAsia="宋体"/>
          <w:sz w:val="24"/>
        </w:rPr>
        <w:t>根据解析异常明细检查 ZIP 内文件命名、Excel 列序与账期是否符合规范；修正后按原批次重试或重新上传。</w:t>
      </w:r>
    </w:p>
    <w:p w14:paraId="233778A8">
      <w:pPr>
        <w:pStyle w:val="5"/>
        <w:numPr>
          <w:ilvl w:val="1"/>
          <w:numId w:val="7"/>
        </w:numPr>
      </w:pPr>
      <w:bookmarkStart w:id="58" w:name="_Toc912956617"/>
      <w:r>
        <w:rPr>
          <w:rFonts w:ascii="黑体" w:hAnsi="黑体" w:eastAsia="黑体"/>
          <w:b/>
          <w:sz w:val="28"/>
        </w:rPr>
        <w:t>动态刷数失败</w:t>
      </w:r>
      <w:bookmarkEnd w:id="58"/>
    </w:p>
    <w:p w14:paraId="32CB6DC0">
      <w:pPr>
        <w:spacing w:line="360" w:lineRule="auto"/>
        <w:ind w:firstLine="420"/>
        <w:jc w:val="both"/>
      </w:pPr>
      <w:r>
        <w:rPr>
          <w:rFonts w:ascii="宋体" w:hAnsi="宋体" w:eastAsia="宋体"/>
          <w:sz w:val="24"/>
        </w:rPr>
        <w:t>查看运行历史中的失败信息，确认账期、过程依赖与数据库任务状态；必要时由运维核对存储过程执行日志。</w:t>
      </w:r>
    </w:p>
    <w:p w14:paraId="0A5A838B">
      <w:pPr>
        <w:pStyle w:val="4"/>
        <w:numPr>
          <w:ilvl w:val="0"/>
          <w:numId w:val="7"/>
        </w:numPr>
      </w:pPr>
      <w:bookmarkStart w:id="59" w:name="_Toc291204104"/>
      <w:r>
        <w:rPr>
          <w:rFonts w:ascii="黑体" w:hAnsi="黑体" w:eastAsia="黑体"/>
          <w:b/>
          <w:sz w:val="32"/>
        </w:rPr>
        <w:t>附录</w:t>
      </w:r>
      <w:bookmarkEnd w:id="59"/>
    </w:p>
    <w:p w14:paraId="336DF82B">
      <w:pPr>
        <w:pStyle w:val="5"/>
        <w:numPr>
          <w:ilvl w:val="1"/>
          <w:numId w:val="7"/>
        </w:numPr>
      </w:pPr>
      <w:bookmarkStart w:id="60" w:name="_Toc152144415"/>
      <w:r>
        <w:rPr>
          <w:rFonts w:ascii="黑体" w:hAnsi="黑体" w:eastAsia="黑体"/>
          <w:b/>
          <w:sz w:val="28"/>
        </w:rPr>
        <w:t>与历史手册章节对照</w:t>
      </w:r>
      <w:bookmarkEnd w:id="60"/>
    </w:p>
    <w:p w14:paraId="2DF09C66">
      <w:pPr>
        <w:spacing w:line="360" w:lineRule="auto"/>
        <w:ind w:firstLine="420"/>
        <w:jc w:val="both"/>
      </w:pPr>
      <w:r>
        <w:rPr>
          <w:rFonts w:ascii="宋体" w:hAnsi="宋体" w:eastAsia="宋体"/>
          <w:sz w:val="24"/>
        </w:rPr>
        <w:t>原《国库大数据可视化平台》手册：登录、方案推送、指标库方案与转图、图片、视频、页面管理 → 见本手册「登录与权限」「大数据可视化」。</w:t>
      </w:r>
    </w:p>
    <w:p w14:paraId="0A577319">
      <w:pPr>
        <w:spacing w:line="360" w:lineRule="auto"/>
        <w:ind w:firstLine="420"/>
        <w:jc w:val="both"/>
      </w:pPr>
      <w:r>
        <w:rPr>
          <w:rFonts w:ascii="宋体" w:hAnsi="宋体" w:eastAsia="宋体"/>
          <w:sz w:val="24"/>
        </w:rPr>
        <w:t>原《国库大数据平台三期项目》手册：登录、新增指标、智能报告、综合查询 → 见本手册「登录与权限」「指标分析与智能报告」「综合查询」。</w:t>
      </w:r>
    </w:p>
    <w:p w14:paraId="788BB9B8">
      <w:pPr>
        <w:spacing w:line="360" w:lineRule="auto"/>
        <w:ind w:firstLine="420"/>
        <w:jc w:val="both"/>
      </w:pPr>
      <w:r>
        <w:rPr>
          <w:rFonts w:ascii="宋体" w:hAnsi="宋体" w:eastAsia="宋体"/>
          <w:b/>
          <w:color w:val="C00000"/>
          <w:sz w:val="24"/>
        </w:rPr>
        <w:t>【变更】</w:t>
      </w:r>
      <w:r>
        <w:rPr>
          <w:rFonts w:ascii="宋体" w:hAnsi="宋体" w:eastAsia="宋体"/>
          <w:b w:val="0"/>
          <w:sz w:val="24"/>
        </w:rPr>
        <w:t>新增章节：系统整合说明、门户登录与权限上收、展示方案、动态刷数、数据上报、数据源与变更汇总。</w:t>
      </w:r>
    </w:p>
    <w:p w14:paraId="7A25E2DA">
      <w:pPr>
        <w:pStyle w:val="5"/>
        <w:numPr>
          <w:ilvl w:val="1"/>
          <w:numId w:val="7"/>
        </w:numPr>
      </w:pPr>
      <w:bookmarkStart w:id="61" w:name="_Toc1585642975"/>
      <w:r>
        <w:rPr>
          <w:rFonts w:ascii="黑体" w:hAnsi="黑体" w:eastAsia="黑体"/>
          <w:b/>
          <w:sz w:val="28"/>
        </w:rPr>
        <w:t>截图清单</w:t>
      </w:r>
      <w:bookmarkEnd w:id="61"/>
    </w:p>
    <w:p w14:paraId="3114F7C6">
      <w:pPr>
        <w:pStyle w:val="17"/>
      </w:pPr>
      <w:r>
        <w:rPr>
          <w:rFonts w:ascii="宋体" w:hAnsi="宋体" w:eastAsia="宋体"/>
          <w:sz w:val="24"/>
        </w:rPr>
        <w:t>大数据可视化.png — 系统主界面</w:t>
      </w:r>
    </w:p>
    <w:p w14:paraId="5C3CED7E">
      <w:pPr>
        <w:pStyle w:val="17"/>
      </w:pPr>
      <w:r>
        <w:rPr>
          <w:rFonts w:ascii="宋体" w:hAnsi="宋体" w:eastAsia="宋体"/>
          <w:sz w:val="24"/>
        </w:rPr>
        <w:t>01-数据上报.png — 数据上报列表</w:t>
      </w:r>
    </w:p>
    <w:p w14:paraId="3071CAB0">
      <w:pPr>
        <w:pStyle w:val="17"/>
      </w:pPr>
      <w:r>
        <w:rPr>
          <w:rFonts w:ascii="宋体" w:hAnsi="宋体" w:eastAsia="宋体"/>
          <w:sz w:val="24"/>
        </w:rPr>
        <w:t>02-数据上报新增.png — 新增上报</w:t>
      </w:r>
    </w:p>
    <w:p w14:paraId="34E777DD">
      <w:pPr>
        <w:pStyle w:val="17"/>
      </w:pPr>
      <w:r>
        <w:rPr>
          <w:rFonts w:ascii="宋体" w:hAnsi="宋体" w:eastAsia="宋体"/>
          <w:sz w:val="24"/>
        </w:rPr>
        <w:t>03-数据上报新增解析情况.png — 解析正常</w:t>
      </w:r>
    </w:p>
    <w:p w14:paraId="7375C38D">
      <w:pPr>
        <w:pStyle w:val="17"/>
      </w:pPr>
      <w:r>
        <w:rPr>
          <w:rFonts w:ascii="宋体" w:hAnsi="宋体" w:eastAsia="宋体"/>
          <w:sz w:val="24"/>
        </w:rPr>
        <w:t>04-数据上报新增解析情况异常.png — 解析异常明细</w:t>
      </w:r>
    </w:p>
    <w:p w14:paraId="380FF9EC">
      <w:pPr>
        <w:pStyle w:val="17"/>
      </w:pPr>
      <w:r>
        <w:rPr>
          <w:rFonts w:ascii="宋体" w:hAnsi="宋体" w:eastAsia="宋体"/>
          <w:sz w:val="24"/>
        </w:rPr>
        <w:t>04-数据上报新增解析情况异常总体.png — 解析异常总体</w:t>
      </w:r>
    </w:p>
    <w:p w14:paraId="224ADB7C">
      <w:pPr>
        <w:pStyle w:val="17"/>
      </w:pPr>
      <w:r>
        <w:rPr>
          <w:rFonts w:ascii="宋体" w:hAnsi="宋体" w:eastAsia="宋体"/>
          <w:sz w:val="24"/>
        </w:rPr>
        <w:t>02-大数据可视化-图库.png — 图库</w:t>
      </w:r>
    </w:p>
    <w:p w14:paraId="0AAA5A5C">
      <w:pPr>
        <w:pStyle w:val="17"/>
      </w:pPr>
      <w:r>
        <w:rPr>
          <w:rFonts w:ascii="宋体" w:hAnsi="宋体" w:eastAsia="宋体"/>
          <w:sz w:val="24"/>
        </w:rPr>
        <w:t>03-大数据可视化-模板管理.png — 模板管理</w:t>
      </w:r>
    </w:p>
    <w:p w14:paraId="271190AE">
      <w:pPr>
        <w:pStyle w:val="17"/>
      </w:pPr>
      <w:r>
        <w:rPr>
          <w:rFonts w:ascii="宋体" w:hAnsi="宋体" w:eastAsia="宋体"/>
          <w:sz w:val="24"/>
        </w:rPr>
        <w:t>04-大数据可视化-页面管理.png — 页面管理</w:t>
      </w:r>
    </w:p>
    <w:p w14:paraId="756D0AFF">
      <w:pPr>
        <w:pStyle w:val="17"/>
      </w:pPr>
      <w:r>
        <w:rPr>
          <w:rFonts w:ascii="宋体" w:hAnsi="宋体" w:eastAsia="宋体"/>
          <w:sz w:val="24"/>
        </w:rPr>
        <w:t>05-大数据可视化-展示方案管理.png — 展示方案</w:t>
      </w:r>
    </w:p>
    <w:p w14:paraId="126C9A9F">
      <w:pPr>
        <w:pStyle w:val="17"/>
      </w:pPr>
      <w:r>
        <w:rPr>
          <w:rFonts w:ascii="宋体" w:hAnsi="宋体" w:eastAsia="宋体"/>
          <w:sz w:val="24"/>
        </w:rPr>
        <w:t>06-大数据可视化-展示方案管理预览.png — 展示方案预览</w:t>
      </w:r>
    </w:p>
    <w:p w14:paraId="34ABD0EE">
      <w:pPr>
        <w:pStyle w:val="17"/>
      </w:pPr>
      <w:r>
        <w:rPr>
          <w:rFonts w:ascii="宋体" w:hAnsi="宋体" w:eastAsia="宋体"/>
          <w:sz w:val="24"/>
        </w:rPr>
        <w:t>07-大数据可视化-指标库方案.png — 指标库方案</w:t>
      </w:r>
    </w:p>
    <w:p w14:paraId="14268100">
      <w:pPr>
        <w:pStyle w:val="17"/>
      </w:pPr>
      <w:r>
        <w:rPr>
          <w:rFonts w:ascii="宋体" w:hAnsi="宋体" w:eastAsia="宋体"/>
          <w:sz w:val="24"/>
        </w:rPr>
        <w:t>08-大数据可视化-指标库方案-转图.png — 转图</w:t>
      </w:r>
    </w:p>
    <w:p w14:paraId="6A7A76AD">
      <w:pPr>
        <w:pStyle w:val="17"/>
      </w:pPr>
      <w:r>
        <w:rPr>
          <w:rFonts w:ascii="宋体" w:hAnsi="宋体" w:eastAsia="宋体"/>
          <w:b w:val="0"/>
          <w:sz w:val="24"/>
        </w:rPr>
        <w:t>原手册补充：登录页、修改密码、角色管理/授权（历史）</w:t>
      </w:r>
    </w:p>
    <w:p w14:paraId="77A43C8F">
      <w:pPr>
        <w:pStyle w:val="17"/>
      </w:pPr>
      <w:r>
        <w:rPr>
          <w:rFonts w:ascii="宋体" w:hAnsi="宋体" w:eastAsia="宋体"/>
          <w:b w:val="0"/>
          <w:sz w:val="24"/>
        </w:rPr>
        <w:t>原手册补充：方案推送、转图（柱/饼/柱折/地图）配置与结果</w:t>
      </w:r>
    </w:p>
    <w:p w14:paraId="5D283377">
      <w:pPr>
        <w:pStyle w:val="17"/>
      </w:pPr>
      <w:r>
        <w:rPr>
          <w:rFonts w:ascii="宋体" w:hAnsi="宋体" w:eastAsia="宋体"/>
          <w:b w:val="0"/>
          <w:sz w:val="24"/>
        </w:rPr>
        <w:t>原手册补充：图片/视频上传、页面模块设置与截图裁剪</w:t>
      </w:r>
    </w:p>
    <w:p w14:paraId="50303E7F">
      <w:pPr>
        <w:pStyle w:val="17"/>
      </w:pPr>
      <w:r>
        <w:rPr>
          <w:rFonts w:ascii="宋体" w:hAnsi="宋体" w:eastAsia="宋体"/>
          <w:b w:val="0"/>
          <w:sz w:val="24"/>
        </w:rPr>
        <w:t>原手册补充：智能报告样例、综合查询下载权限示意、所属国库、筛选 IN 逻辑</w:t>
      </w:r>
    </w:p>
    <w:p w14:paraId="20244686">
      <w:pPr>
        <w:pStyle w:val="5"/>
        <w:numPr>
          <w:ilvl w:val="1"/>
          <w:numId w:val="7"/>
        </w:numPr>
      </w:pPr>
      <w:bookmarkStart w:id="62" w:name="_Toc1776905202"/>
      <w:r>
        <w:rPr>
          <w:rFonts w:ascii="黑体" w:hAnsi="黑体" w:eastAsia="黑体"/>
          <w:b/>
          <w:sz w:val="28"/>
        </w:rPr>
        <w:t>参考资料</w:t>
      </w:r>
      <w:bookmarkEnd w:id="62"/>
    </w:p>
    <w:p w14:paraId="7B07A12B">
      <w:pPr>
        <w:pStyle w:val="17"/>
      </w:pPr>
      <w:r>
        <w:rPr>
          <w:rFonts w:ascii="宋体" w:hAnsi="宋体" w:eastAsia="宋体"/>
          <w:sz w:val="24"/>
        </w:rPr>
        <w:t>《国库统一认证及门户支撑子系统用户手册》V1.62（登录安全、用户角色、门户支撑操作）</w:t>
      </w:r>
    </w:p>
    <w:p w14:paraId="026D298C">
      <w:pPr>
        <w:pStyle w:val="17"/>
      </w:pPr>
      <w:r>
        <w:rPr>
          <w:rFonts w:ascii="宋体" w:hAnsi="宋体" w:eastAsia="宋体"/>
          <w:sz w:val="24"/>
        </w:rPr>
        <w:t>本系统 Git 变更记录（2026-04 起）：门户 OAuth、vis 整合、Vastbase 适配、动态刷数、数据上报、指标/可视化修复等</w:t>
      </w:r>
    </w:p>
    <w:sectPr>
      <w:footerReference r:id="rId5" w:type="default"/>
      <w:pgSz w:w="11906" w:h="16838"/>
      <w:pgMar w:top="1417" w:right="1417" w:bottom="1417" w:left="1417"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80"/>
    <w:family w:val="roma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Hiragino Sans">
    <w:panose1 w:val="020B0300000000000000"/>
    <w:charset w:val="80"/>
    <w:family w:val="auto"/>
    <w:pitch w:val="default"/>
    <w:sig w:usb0="E00002FF" w:usb1="7AE7FFFF" w:usb2="00000012" w:usb3="00000000" w:csb0="0002000D" w:csb1="00000000"/>
  </w:font>
  <w:font w:name="苹方-简">
    <w:panose1 w:val="020B0400000000000000"/>
    <w:charset w:val="86"/>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 w:name="冬青黑体简体中文">
    <w:panose1 w:val="020B0300000000000000"/>
    <w:charset w:val="86"/>
    <w:family w:val="auto"/>
    <w:pitch w:val="default"/>
    <w:sig w:usb0="A00002BF" w:usb1="1ACF7CFA" w:usb2="00000016" w:usb3="00000000" w:csb0="000600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693992">
    <w:pPr>
      <w:pStyle w:val="25"/>
      <w:tabs>
        <w:tab w:val="left" w:pos="7271"/>
        <w:tab w:val="clear" w:pos="4680"/>
      </w:tabs>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9585CA">
                          <w:pPr>
                            <w:pStyle w:val="25"/>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32</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bM3OczAgAAYwQAAA4AAABkcnMvZTJvRG9jLnhtbK1UzY7TMBC+I/EO&#10;lu80aWFX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ObM3OczAgAAYwQAAA4AAAAAAAAAAQAgAAAAHwEAAGRycy9lMm9Eb2MueG1sUEsF&#10;BgAAAAAGAAYAWQEAAMQFAAAAAA==&#10;">
              <v:fill on="f" focussize="0,0"/>
              <v:stroke on="f" weight="0.5pt"/>
              <v:imagedata o:title=""/>
              <o:lock v:ext="edit" aspectratio="f"/>
              <v:textbox inset="0mm,0mm,0mm,0mm" style="mso-fit-shape-to-text:t;">
                <w:txbxContent>
                  <w:p w14:paraId="289585CA">
                    <w:pPr>
                      <w:pStyle w:val="25"/>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32</w:t>
                    </w:r>
                    <w:r>
                      <w:fldChar w:fldCharType="end"/>
                    </w:r>
                    <w:r>
                      <w:t xml:space="preserve"> 页</w:t>
                    </w:r>
                  </w:p>
                </w:txbxContent>
              </v:textbox>
            </v:shape>
          </w:pict>
        </mc:Fallback>
      </mc:AlternateContent>
    </w:r>
    <w:r>
      <w:rPr>
        <w:rFonts w:hint="eastAsia"/>
        <w:lang w:eastAsia="zh-CN"/>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4"/>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5"/>
      <w:lvlText w:val="%1."/>
      <w:lvlJc w:val="left"/>
      <w:pPr>
        <w:tabs>
          <w:tab w:val="left" w:pos="360"/>
        </w:tabs>
        <w:ind w:left="360" w:hanging="360"/>
      </w:pPr>
    </w:lvl>
  </w:abstractNum>
  <w:abstractNum w:abstractNumId="5">
    <w:nsid w:val="FFFFFF89"/>
    <w:multiLevelType w:val="multilevel"/>
    <w:tmpl w:val="FFFFFF89"/>
    <w:lvl w:ilvl="0" w:tentative="0">
      <w:start w:val="1"/>
      <w:numFmt w:val="bullet"/>
      <w:pStyle w:val="17"/>
      <w:lvlText w:val=""/>
      <w:lvlJc w:val="left"/>
      <w:pPr>
        <w:tabs>
          <w:tab w:val="left" w:pos="360"/>
        </w:tabs>
        <w:ind w:left="360" w:hanging="360"/>
      </w:pPr>
      <w:rPr>
        <w:rFonts w:hint="default" w:ascii="Symbol" w:hAnsi="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
    <w:nsid w:val="5A3B1C9D"/>
    <w:multiLevelType w:val="multilevel"/>
    <w:tmpl w:val="5A3B1C9D"/>
    <w:lvl w:ilvl="0" w:tentative="0">
      <w:start w:val="1"/>
      <w:numFmt w:val="decimal"/>
      <w:lvlText w:val="%1"/>
      <w:lvlJc w:val="left"/>
      <w:pPr>
        <w:ind w:left="0" w:hanging="360"/>
      </w:pPr>
      <w:rPr>
        <w:rFonts w:hint="eastAsia"/>
      </w:rPr>
    </w:lvl>
    <w:lvl w:ilvl="1" w:tentative="0">
      <w:start w:val="1"/>
      <w:numFmt w:val="decimal"/>
      <w:lvlText w:val="%1.%2"/>
      <w:lvlJc w:val="left"/>
      <w:pPr>
        <w:ind w:left="0" w:hanging="432"/>
      </w:pPr>
    </w:lvl>
    <w:lvl w:ilvl="2" w:tentative="0">
      <w:start w:val="1"/>
      <w:numFmt w:val="decimal"/>
      <w:lvlText w:val="%1.%2.%3"/>
      <w:lvlJc w:val="left"/>
      <w:pPr>
        <w:ind w:left="0" w:hanging="504"/>
      </w:pPr>
    </w:lvl>
    <w:lvl w:ilvl="3" w:tentative="0">
      <w:start w:val="1"/>
      <w:numFmt w:val="decimal"/>
      <w:lvlText w:val="%1.%2.%3.%4"/>
      <w:lvlJc w:val="left"/>
      <w:pPr>
        <w:ind w:left="0" w:hanging="576"/>
      </w:pPr>
    </w:lvl>
    <w:lvl w:ilvl="4" w:tentative="0">
      <w:start w:val="1"/>
      <w:numFmt w:val="decimal"/>
      <w:lvlText w:val="%1.%2.%3.%4.%5"/>
      <w:lvlJc w:val="left"/>
      <w:pPr>
        <w:ind w:left="0" w:hanging="648"/>
      </w:pPr>
    </w:lvl>
    <w:lvl w:ilvl="5" w:tentative="0">
      <w:start w:val="1"/>
      <w:numFmt w:val="decimal"/>
      <w:lvlText w:val="%1.%2.%3.%4.%5.%6"/>
      <w:lvlJc w:val="left"/>
      <w:pPr>
        <w:ind w:left="0" w:hanging="720"/>
      </w:p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EF0748"/>
    <w:rsid w:val="0FCBEE9F"/>
    <w:rsid w:val="13BCF6C9"/>
    <w:rsid w:val="17F9979E"/>
    <w:rsid w:val="1BBF87A0"/>
    <w:rsid w:val="1BD62F3C"/>
    <w:rsid w:val="1D7FF794"/>
    <w:rsid w:val="1DCFBC38"/>
    <w:rsid w:val="1E9DC162"/>
    <w:rsid w:val="1F55F658"/>
    <w:rsid w:val="1F76E371"/>
    <w:rsid w:val="1FB3818C"/>
    <w:rsid w:val="1FFFACD2"/>
    <w:rsid w:val="21FE33AB"/>
    <w:rsid w:val="26E51DEE"/>
    <w:rsid w:val="26E9D2A4"/>
    <w:rsid w:val="27ABB751"/>
    <w:rsid w:val="27CF6214"/>
    <w:rsid w:val="29FFE748"/>
    <w:rsid w:val="2BFB9783"/>
    <w:rsid w:val="2DFF679B"/>
    <w:rsid w:val="2EEBDC21"/>
    <w:rsid w:val="2EFD8C9B"/>
    <w:rsid w:val="2FAFF5F6"/>
    <w:rsid w:val="2FB78A0C"/>
    <w:rsid w:val="2FE9B4E8"/>
    <w:rsid w:val="2FFFE6B3"/>
    <w:rsid w:val="33CEF24B"/>
    <w:rsid w:val="36DFFFE9"/>
    <w:rsid w:val="37872940"/>
    <w:rsid w:val="379F9DFC"/>
    <w:rsid w:val="37F58BC1"/>
    <w:rsid w:val="3A9C9758"/>
    <w:rsid w:val="3BBC70D7"/>
    <w:rsid w:val="3C7D5878"/>
    <w:rsid w:val="3DE6D2C3"/>
    <w:rsid w:val="3E7EA515"/>
    <w:rsid w:val="3EEF2F5F"/>
    <w:rsid w:val="3EFB5ED5"/>
    <w:rsid w:val="3F6D3BD9"/>
    <w:rsid w:val="3F9E6510"/>
    <w:rsid w:val="3FDB6A94"/>
    <w:rsid w:val="3FF75A6F"/>
    <w:rsid w:val="3FFBC30B"/>
    <w:rsid w:val="3FFC032F"/>
    <w:rsid w:val="3FFD5466"/>
    <w:rsid w:val="44CF64A0"/>
    <w:rsid w:val="47CE2C8D"/>
    <w:rsid w:val="4AC5EEAB"/>
    <w:rsid w:val="4EBF336D"/>
    <w:rsid w:val="4EDF03E3"/>
    <w:rsid w:val="513E5FF7"/>
    <w:rsid w:val="52526456"/>
    <w:rsid w:val="55359486"/>
    <w:rsid w:val="55649A6C"/>
    <w:rsid w:val="55FAF248"/>
    <w:rsid w:val="56ADD92C"/>
    <w:rsid w:val="57295438"/>
    <w:rsid w:val="57F216A2"/>
    <w:rsid w:val="57FBDC0E"/>
    <w:rsid w:val="59DF5E58"/>
    <w:rsid w:val="5A7F4ABB"/>
    <w:rsid w:val="5B2FCDD4"/>
    <w:rsid w:val="5BBE56C3"/>
    <w:rsid w:val="5BBFB635"/>
    <w:rsid w:val="5BFDD3F0"/>
    <w:rsid w:val="5C5FCDE0"/>
    <w:rsid w:val="5DBEDB01"/>
    <w:rsid w:val="5DBF780C"/>
    <w:rsid w:val="5DDBF6B2"/>
    <w:rsid w:val="5E27AB8B"/>
    <w:rsid w:val="5EFF03D6"/>
    <w:rsid w:val="5F17A9BB"/>
    <w:rsid w:val="5F7E054A"/>
    <w:rsid w:val="5FB98661"/>
    <w:rsid w:val="5FDB7E6C"/>
    <w:rsid w:val="5FEF17C4"/>
    <w:rsid w:val="5FF3A822"/>
    <w:rsid w:val="5FFD64BA"/>
    <w:rsid w:val="5FFE9357"/>
    <w:rsid w:val="616E5E73"/>
    <w:rsid w:val="63C19A5D"/>
    <w:rsid w:val="65992652"/>
    <w:rsid w:val="667BED5C"/>
    <w:rsid w:val="66DF4A42"/>
    <w:rsid w:val="66F4F852"/>
    <w:rsid w:val="6BBFFF97"/>
    <w:rsid w:val="6CABF16A"/>
    <w:rsid w:val="6CC94940"/>
    <w:rsid w:val="6CF39040"/>
    <w:rsid w:val="6E7F0F7F"/>
    <w:rsid w:val="6E9FC50F"/>
    <w:rsid w:val="6EBBD658"/>
    <w:rsid w:val="6EBFAB9B"/>
    <w:rsid w:val="6EF7F693"/>
    <w:rsid w:val="6EFF3CEB"/>
    <w:rsid w:val="6F3B6FE2"/>
    <w:rsid w:val="6FBB8D5B"/>
    <w:rsid w:val="6FBD1D30"/>
    <w:rsid w:val="6FBEE63E"/>
    <w:rsid w:val="6FDB7208"/>
    <w:rsid w:val="6FDD2E98"/>
    <w:rsid w:val="6FFDB066"/>
    <w:rsid w:val="6FFFC645"/>
    <w:rsid w:val="71F3FCCE"/>
    <w:rsid w:val="730F55EC"/>
    <w:rsid w:val="73BF5101"/>
    <w:rsid w:val="74F72279"/>
    <w:rsid w:val="75291A08"/>
    <w:rsid w:val="756F1C4E"/>
    <w:rsid w:val="75B7AF24"/>
    <w:rsid w:val="75FF0FB0"/>
    <w:rsid w:val="75FFA5F3"/>
    <w:rsid w:val="773D1100"/>
    <w:rsid w:val="775ACF34"/>
    <w:rsid w:val="779F4EF7"/>
    <w:rsid w:val="77AE43F2"/>
    <w:rsid w:val="77BBE2C2"/>
    <w:rsid w:val="77D51D09"/>
    <w:rsid w:val="78CF1E97"/>
    <w:rsid w:val="78DC45A0"/>
    <w:rsid w:val="79BC461E"/>
    <w:rsid w:val="79FF210F"/>
    <w:rsid w:val="7ADFB04B"/>
    <w:rsid w:val="7B434ACE"/>
    <w:rsid w:val="7BF59214"/>
    <w:rsid w:val="7BF7CF89"/>
    <w:rsid w:val="7BFB4A4E"/>
    <w:rsid w:val="7C7B7CD3"/>
    <w:rsid w:val="7CAE1ABB"/>
    <w:rsid w:val="7D5FDF0A"/>
    <w:rsid w:val="7D8D592F"/>
    <w:rsid w:val="7DCA0FD0"/>
    <w:rsid w:val="7DDF4E9E"/>
    <w:rsid w:val="7DF67419"/>
    <w:rsid w:val="7DFBC6D2"/>
    <w:rsid w:val="7DFDD0FF"/>
    <w:rsid w:val="7DFF38DC"/>
    <w:rsid w:val="7EBE2AAB"/>
    <w:rsid w:val="7EDF690A"/>
    <w:rsid w:val="7EDFBB62"/>
    <w:rsid w:val="7EE7B0F7"/>
    <w:rsid w:val="7EEFCAF8"/>
    <w:rsid w:val="7EFFD9D4"/>
    <w:rsid w:val="7F17643E"/>
    <w:rsid w:val="7F7573F2"/>
    <w:rsid w:val="7F77E545"/>
    <w:rsid w:val="7F7E99EC"/>
    <w:rsid w:val="7F7EA209"/>
    <w:rsid w:val="7F7ED692"/>
    <w:rsid w:val="7FB967DA"/>
    <w:rsid w:val="7FBD8DFE"/>
    <w:rsid w:val="7FDF8CF0"/>
    <w:rsid w:val="7FDFC3E9"/>
    <w:rsid w:val="7FEC64A7"/>
    <w:rsid w:val="7FEF3282"/>
    <w:rsid w:val="7FF12A3A"/>
    <w:rsid w:val="7FF6F058"/>
    <w:rsid w:val="7FFD7E1A"/>
    <w:rsid w:val="7FFF18CA"/>
    <w:rsid w:val="97E59693"/>
    <w:rsid w:val="9FFBEF87"/>
    <w:rsid w:val="A3A589CB"/>
    <w:rsid w:val="AAFEF0EE"/>
    <w:rsid w:val="ABBF88F9"/>
    <w:rsid w:val="ACF9FC72"/>
    <w:rsid w:val="AF6DC3EB"/>
    <w:rsid w:val="AFBFECF8"/>
    <w:rsid w:val="AFFE2505"/>
    <w:rsid w:val="B2D91F92"/>
    <w:rsid w:val="B4FB6910"/>
    <w:rsid w:val="B77D8EC3"/>
    <w:rsid w:val="B7D783C0"/>
    <w:rsid w:val="B7FF9A4B"/>
    <w:rsid w:val="B9FE55DF"/>
    <w:rsid w:val="BAAB4078"/>
    <w:rsid w:val="BB3DC377"/>
    <w:rsid w:val="BB7FA580"/>
    <w:rsid w:val="BD3C6336"/>
    <w:rsid w:val="BE3946DA"/>
    <w:rsid w:val="BE4DC47C"/>
    <w:rsid w:val="BEE74854"/>
    <w:rsid w:val="BFBF1D16"/>
    <w:rsid w:val="BFBFFC5E"/>
    <w:rsid w:val="BFEDB4EB"/>
    <w:rsid w:val="C7FA8584"/>
    <w:rsid w:val="C9FD784C"/>
    <w:rsid w:val="CB475169"/>
    <w:rsid w:val="D1735E5A"/>
    <w:rsid w:val="D57E5E11"/>
    <w:rsid w:val="D6D8B693"/>
    <w:rsid w:val="D6FF86C4"/>
    <w:rsid w:val="D7BFF1E8"/>
    <w:rsid w:val="D9EF16F6"/>
    <w:rsid w:val="D9F4CDAC"/>
    <w:rsid w:val="DA37BAA4"/>
    <w:rsid w:val="DABF4DE8"/>
    <w:rsid w:val="DBFA3755"/>
    <w:rsid w:val="DBFFF8A6"/>
    <w:rsid w:val="DCB55D9F"/>
    <w:rsid w:val="DD3F4E65"/>
    <w:rsid w:val="DD716C30"/>
    <w:rsid w:val="DDDFB92F"/>
    <w:rsid w:val="DDE67BEC"/>
    <w:rsid w:val="DDF5424F"/>
    <w:rsid w:val="DEAB7EE3"/>
    <w:rsid w:val="DEB6A574"/>
    <w:rsid w:val="DEBF265D"/>
    <w:rsid w:val="DEE6B9C7"/>
    <w:rsid w:val="DEEFBF32"/>
    <w:rsid w:val="DEF83C1C"/>
    <w:rsid w:val="DF119789"/>
    <w:rsid w:val="DF15B4CC"/>
    <w:rsid w:val="DFAA365F"/>
    <w:rsid w:val="DFB3B283"/>
    <w:rsid w:val="DFB941C7"/>
    <w:rsid w:val="DFD77678"/>
    <w:rsid w:val="DFDEC1A3"/>
    <w:rsid w:val="DFFB3BAC"/>
    <w:rsid w:val="DFFD4175"/>
    <w:rsid w:val="E39FC80F"/>
    <w:rsid w:val="E3DFAA2E"/>
    <w:rsid w:val="E4FFEA79"/>
    <w:rsid w:val="E5DE8B65"/>
    <w:rsid w:val="E67EBA4B"/>
    <w:rsid w:val="E70B396C"/>
    <w:rsid w:val="E7B31AF1"/>
    <w:rsid w:val="E7D272E3"/>
    <w:rsid w:val="E9FD38DF"/>
    <w:rsid w:val="E9FEFF4A"/>
    <w:rsid w:val="EB9FA04A"/>
    <w:rsid w:val="EBFEA801"/>
    <w:rsid w:val="ECDB5EFA"/>
    <w:rsid w:val="ED3C1C7F"/>
    <w:rsid w:val="EDB31066"/>
    <w:rsid w:val="EDD583E4"/>
    <w:rsid w:val="EDFB3B28"/>
    <w:rsid w:val="EE472270"/>
    <w:rsid w:val="EEBE6861"/>
    <w:rsid w:val="EEEB7DC6"/>
    <w:rsid w:val="EEFBB3CB"/>
    <w:rsid w:val="EEFF3672"/>
    <w:rsid w:val="EF6FADC1"/>
    <w:rsid w:val="EF7D8EBB"/>
    <w:rsid w:val="EFDF913E"/>
    <w:rsid w:val="EFE23232"/>
    <w:rsid w:val="EFFD4022"/>
    <w:rsid w:val="EFFDA129"/>
    <w:rsid w:val="EFFF3C93"/>
    <w:rsid w:val="F3DFD167"/>
    <w:rsid w:val="F3FD1F87"/>
    <w:rsid w:val="F4FF871E"/>
    <w:rsid w:val="F55DB8BA"/>
    <w:rsid w:val="F5CD0068"/>
    <w:rsid w:val="F5DF7B35"/>
    <w:rsid w:val="F5DFB492"/>
    <w:rsid w:val="F5FF1692"/>
    <w:rsid w:val="F65A4587"/>
    <w:rsid w:val="F669D985"/>
    <w:rsid w:val="F67A158D"/>
    <w:rsid w:val="F77F2130"/>
    <w:rsid w:val="F7AD1037"/>
    <w:rsid w:val="F7D5236F"/>
    <w:rsid w:val="F7D7DB75"/>
    <w:rsid w:val="F7DF6846"/>
    <w:rsid w:val="F7F74EDD"/>
    <w:rsid w:val="F7F770BA"/>
    <w:rsid w:val="F7FF9D08"/>
    <w:rsid w:val="F8CF90F9"/>
    <w:rsid w:val="F9DEA6A5"/>
    <w:rsid w:val="F9E2D839"/>
    <w:rsid w:val="F9EF6BB6"/>
    <w:rsid w:val="F9FD5EF8"/>
    <w:rsid w:val="FA3F63AB"/>
    <w:rsid w:val="FA7F0C42"/>
    <w:rsid w:val="FA9E4366"/>
    <w:rsid w:val="FABF197A"/>
    <w:rsid w:val="FAF95DEE"/>
    <w:rsid w:val="FAFF6981"/>
    <w:rsid w:val="FB2D536F"/>
    <w:rsid w:val="FB77AB08"/>
    <w:rsid w:val="FBBD14EB"/>
    <w:rsid w:val="FBDCA4A5"/>
    <w:rsid w:val="FBDE40A3"/>
    <w:rsid w:val="FBE497AF"/>
    <w:rsid w:val="FBFBCF22"/>
    <w:rsid w:val="FBFD2172"/>
    <w:rsid w:val="FCCF938F"/>
    <w:rsid w:val="FCD92079"/>
    <w:rsid w:val="FD7ECECD"/>
    <w:rsid w:val="FDBA6B1B"/>
    <w:rsid w:val="FDBDFC44"/>
    <w:rsid w:val="FDFEF449"/>
    <w:rsid w:val="FE496890"/>
    <w:rsid w:val="FEF91ADA"/>
    <w:rsid w:val="FEFB76D9"/>
    <w:rsid w:val="FEFD30DC"/>
    <w:rsid w:val="FEFDCDE5"/>
    <w:rsid w:val="FEFEBCC3"/>
    <w:rsid w:val="FF3BF777"/>
    <w:rsid w:val="FF58AF70"/>
    <w:rsid w:val="FF65118B"/>
    <w:rsid w:val="FF77A934"/>
    <w:rsid w:val="FF7B7031"/>
    <w:rsid w:val="FF7D79D1"/>
    <w:rsid w:val="FF7F3F05"/>
    <w:rsid w:val="FF7F6010"/>
    <w:rsid w:val="FF7F7DF7"/>
    <w:rsid w:val="FF7FAEAD"/>
    <w:rsid w:val="FF9FC45D"/>
    <w:rsid w:val="FFBF5B72"/>
    <w:rsid w:val="FFDFC670"/>
    <w:rsid w:val="FFEB75A1"/>
    <w:rsid w:val="FFF36849"/>
    <w:rsid w:val="FFF49670"/>
    <w:rsid w:val="FFF9742A"/>
    <w:rsid w:val="FFFB2807"/>
    <w:rsid w:val="FFFB7EF8"/>
    <w:rsid w:val="FFFBDB77"/>
    <w:rsid w:val="FFFD2A21"/>
    <w:rsid w:val="FFFE3F97"/>
    <w:rsid w:val="FFFFA2E9"/>
    <w:rsid w:val="FFFFFFF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spacing w:after="120" w:line="324" w:lineRule="auto"/>
    </w:pPr>
    <w:rPr>
      <w:rFonts w:ascii="宋体" w:hAnsi="宋体" w:eastAsia="宋体" w:cstheme="minorBidi"/>
      <w:color w:val="212529"/>
      <w:sz w:val="24"/>
      <w:szCs w:val="22"/>
      <w:lang w:val="en-US" w:eastAsia="en-US" w:bidi="ar-SA"/>
    </w:rPr>
  </w:style>
  <w:style w:type="paragraph" w:styleId="4">
    <w:name w:val="heading 1"/>
    <w:basedOn w:val="1"/>
    <w:next w:val="1"/>
    <w:link w:val="141"/>
    <w:qFormat/>
    <w:uiPriority w:val="9"/>
    <w:pPr>
      <w:keepNext/>
      <w:keepLines/>
      <w:spacing w:before="280" w:after="160"/>
      <w:outlineLvl w:val="0"/>
    </w:pPr>
    <w:rPr>
      <w:rFonts w:asciiTheme="majorHAnsi" w:hAnsiTheme="majorHAnsi" w:eastAsiaTheme="majorEastAsia" w:cstheme="majorBidi"/>
      <w:b/>
      <w:bCs/>
      <w:color w:val="1565C0"/>
      <w:sz w:val="32"/>
      <w:szCs w:val="28"/>
    </w:rPr>
  </w:style>
  <w:style w:type="paragraph" w:styleId="5">
    <w:name w:val="heading 2"/>
    <w:basedOn w:val="1"/>
    <w:next w:val="1"/>
    <w:link w:val="142"/>
    <w:unhideWhenUsed/>
    <w:qFormat/>
    <w:uiPriority w:val="9"/>
    <w:pPr>
      <w:keepNext/>
      <w:keepLines/>
      <w:spacing w:before="280" w:after="160"/>
      <w:outlineLvl w:val="1"/>
    </w:pPr>
    <w:rPr>
      <w:rFonts w:asciiTheme="majorHAnsi" w:hAnsiTheme="majorHAnsi" w:eastAsiaTheme="majorEastAsia" w:cstheme="majorBidi"/>
      <w:b/>
      <w:bCs/>
      <w:color w:val="1565C0"/>
      <w:sz w:val="28"/>
      <w:szCs w:val="26"/>
    </w:rPr>
  </w:style>
  <w:style w:type="paragraph" w:styleId="6">
    <w:name w:val="heading 3"/>
    <w:basedOn w:val="1"/>
    <w:next w:val="1"/>
    <w:link w:val="143"/>
    <w:unhideWhenUsed/>
    <w:qFormat/>
    <w:uiPriority w:val="9"/>
    <w:pPr>
      <w:keepNext/>
      <w:keepLines/>
      <w:spacing w:before="280" w:after="160"/>
      <w:outlineLvl w:val="2"/>
    </w:pPr>
    <w:rPr>
      <w:rFonts w:asciiTheme="majorHAnsi" w:hAnsiTheme="majorHAnsi" w:eastAsiaTheme="majorEastAsia" w:cstheme="majorBidi"/>
      <w:b/>
      <w:bCs/>
      <w:color w:val="1565C0"/>
      <w:sz w:val="24"/>
    </w:rPr>
  </w:style>
  <w:style w:type="paragraph" w:styleId="7">
    <w:name w:val="heading 4"/>
    <w:basedOn w:val="1"/>
    <w:next w:val="1"/>
    <w:link w:val="153"/>
    <w:semiHidden/>
    <w:unhideWhenUsed/>
    <w:qFormat/>
    <w:uiPriority w:val="9"/>
    <w:pPr>
      <w:keepNext/>
      <w:keepLines/>
      <w:spacing w:before="280" w:after="160"/>
      <w:outlineLvl w:val="3"/>
    </w:pPr>
    <w:rPr>
      <w:rFonts w:asciiTheme="majorHAnsi" w:hAnsiTheme="majorHAnsi" w:eastAsiaTheme="majorEastAsia" w:cstheme="majorBidi"/>
      <w:b/>
      <w:bCs/>
      <w:i/>
      <w:iCs/>
      <w:color w:val="1565C0"/>
      <w:sz w:val="24"/>
    </w:rPr>
  </w:style>
  <w:style w:type="paragraph" w:styleId="8">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9">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10">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1">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2">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Body Text"/>
    <w:basedOn w:val="1"/>
    <w:next w:val="1"/>
    <w:link w:val="147"/>
    <w:unhideWhenUsed/>
    <w:uiPriority w:val="99"/>
    <w:pPr>
      <w:spacing w:after="120"/>
    </w:pPr>
  </w:style>
  <w:style w:type="paragraph" w:styleId="3">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3">
    <w:name w:val="List 3"/>
    <w:basedOn w:val="1"/>
    <w:unhideWhenUsed/>
    <w:uiPriority w:val="99"/>
    <w:pPr>
      <w:ind w:left="1080" w:hanging="360"/>
      <w:contextualSpacing/>
    </w:pPr>
  </w:style>
  <w:style w:type="paragraph" w:styleId="14">
    <w:name w:val="List Number 2"/>
    <w:basedOn w:val="1"/>
    <w:unhideWhenUsed/>
    <w:uiPriority w:val="99"/>
    <w:pPr>
      <w:numPr>
        <w:ilvl w:val="0"/>
        <w:numId w:val="1"/>
      </w:numPr>
      <w:contextualSpacing/>
    </w:pPr>
  </w:style>
  <w:style w:type="paragraph" w:styleId="15">
    <w:name w:val="List Number"/>
    <w:basedOn w:val="1"/>
    <w:unhideWhenUsed/>
    <w:uiPriority w:val="99"/>
    <w:pPr>
      <w:numPr>
        <w:ilvl w:val="0"/>
        <w:numId w:val="2"/>
      </w:numPr>
      <w:contextualSpacing/>
    </w:p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List Bullet"/>
    <w:basedOn w:val="1"/>
    <w:unhideWhenUsed/>
    <w:uiPriority w:val="99"/>
    <w:pPr>
      <w:numPr>
        <w:ilvl w:val="0"/>
        <w:numId w:val="3"/>
      </w:numPr>
      <w:contextualSpacing/>
    </w:pPr>
  </w:style>
  <w:style w:type="paragraph" w:styleId="18">
    <w:name w:val="Body Text 3"/>
    <w:basedOn w:val="1"/>
    <w:link w:val="149"/>
    <w:unhideWhenUsed/>
    <w:uiPriority w:val="99"/>
    <w:pPr>
      <w:spacing w:after="120"/>
    </w:pPr>
    <w:rPr>
      <w:sz w:val="16"/>
      <w:szCs w:val="16"/>
    </w:rPr>
  </w:style>
  <w:style w:type="paragraph" w:styleId="19">
    <w:name w:val="List Bullet 3"/>
    <w:basedOn w:val="1"/>
    <w:unhideWhenUsed/>
    <w:uiPriority w:val="99"/>
    <w:pPr>
      <w:numPr>
        <w:ilvl w:val="0"/>
        <w:numId w:val="4"/>
      </w:numPr>
      <w:contextualSpacing/>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39"/>
    <w:unhideWhenUsed/>
    <w:uiPriority w:val="99"/>
    <w:pPr>
      <w:tabs>
        <w:tab w:val="center" w:pos="4680"/>
        <w:tab w:val="right" w:pos="9360"/>
      </w:tabs>
      <w:spacing w:after="0" w:line="240" w:lineRule="auto"/>
    </w:pPr>
  </w:style>
  <w:style w:type="paragraph" w:styleId="26">
    <w:name w:val="header"/>
    <w:basedOn w:val="1"/>
    <w:link w:val="138"/>
    <w:unhideWhenUsed/>
    <w:uiPriority w:val="99"/>
    <w:pPr>
      <w:tabs>
        <w:tab w:val="center" w:pos="4680"/>
        <w:tab w:val="right" w:pos="9360"/>
      </w:tabs>
      <w:spacing w:after="0" w:line="240" w:lineRule="auto"/>
    </w:pPr>
  </w:style>
  <w:style w:type="paragraph" w:styleId="27">
    <w:name w:val="toc 1"/>
    <w:basedOn w:val="1"/>
    <w:next w:val="1"/>
    <w:semiHidden/>
    <w:unhideWhenUsed/>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uiPriority w:val="99"/>
    <w:pPr>
      <w:ind w:left="360" w:hanging="360"/>
      <w:contextualSpacing/>
    </w:pPr>
  </w:style>
  <w:style w:type="paragraph" w:styleId="30">
    <w:name w:val="toc 2"/>
    <w:basedOn w:val="1"/>
    <w:next w:val="1"/>
    <w:semiHidden/>
    <w:unhideWhenUsed/>
    <w:uiPriority w:val="39"/>
    <w:pPr>
      <w:ind w:left="420" w:leftChars="200"/>
    </w:pPr>
  </w:style>
  <w:style w:type="paragraph" w:styleId="31">
    <w:name w:val="Body Text 2"/>
    <w:basedOn w:val="1"/>
    <w:link w:val="148"/>
    <w:unhideWhenUsed/>
    <w:uiPriority w:val="99"/>
    <w:pPr>
      <w:spacing w:after="120" w:line="480" w:lineRule="auto"/>
    </w:p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before="0" w:after="160" w:line="240" w:lineRule="auto"/>
      <w:contextualSpacing/>
    </w:pPr>
    <w:rPr>
      <w:rFonts w:asciiTheme="majorHAnsi" w:hAnsiTheme="majorHAnsi" w:eastAsiaTheme="majorEastAsia" w:cstheme="majorBidi"/>
      <w:b/>
      <w:color w:val="212529"/>
      <w:spacing w:val="5"/>
      <w:kern w:val="28"/>
      <w:sz w:val="44"/>
      <w:szCs w:val="52"/>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uiPriority w:val="99"/>
  </w:style>
  <w:style w:type="character" w:customStyle="1" w:styleId="139">
    <w:name w:val="Footer Char"/>
    <w:basedOn w:val="135"/>
    <w:link w:val="25"/>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4"/>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5"/>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6"/>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2"/>
    <w:uiPriority w:val="99"/>
  </w:style>
  <w:style w:type="character" w:customStyle="1" w:styleId="148">
    <w:name w:val="Body Text 2 Char"/>
    <w:basedOn w:val="135"/>
    <w:link w:val="31"/>
    <w:uiPriority w:val="99"/>
  </w:style>
  <w:style w:type="character" w:customStyle="1" w:styleId="149">
    <w:name w:val="Body Text 3 Char"/>
    <w:basedOn w:val="135"/>
    <w:link w:val="18"/>
    <w:uiPriority w:val="99"/>
    <w:rPr>
      <w:sz w:val="16"/>
      <w:szCs w:val="16"/>
    </w:rPr>
  </w:style>
  <w:style w:type="character" w:customStyle="1" w:styleId="150">
    <w:name w:val="Macro Text Char"/>
    <w:basedOn w:val="135"/>
    <w:link w:val="3"/>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uiPriority w:val="29"/>
    <w:rPr>
      <w:i/>
      <w:iCs/>
      <w:color w:val="000000" w:themeColor="text1"/>
      <w14:textFill>
        <w14:solidFill>
          <w14:schemeClr w14:val="tx1"/>
        </w14:solidFill>
      </w14:textFill>
    </w:rPr>
  </w:style>
  <w:style w:type="character" w:customStyle="1" w:styleId="153">
    <w:name w:val="Heading 4 Char"/>
    <w:basedOn w:val="135"/>
    <w:link w:val="7"/>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8"/>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9"/>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10"/>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1"/>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2"/>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4"/>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4" Type="http://schemas.openxmlformats.org/officeDocument/2006/relationships/fontTable" Target="fontTable.xml"/><Relationship Id="rId43" Type="http://schemas.openxmlformats.org/officeDocument/2006/relationships/customXml" Target="../customXml/item2.xml"/><Relationship Id="rId42" Type="http://schemas.openxmlformats.org/officeDocument/2006/relationships/numbering" Target="numbering.xml"/><Relationship Id="rId41" Type="http://schemas.openxmlformats.org/officeDocument/2006/relationships/customXml" Target="../customXml/item1.xml"/><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0</Words>
  <Characters>0</Characters>
  <Lines>0</Lines>
  <Paragraphs>0</Paragraphs>
  <TotalTime>0</TotalTime>
  <ScaleCrop>false</ScaleCrop>
  <LinksUpToDate>false</LinksUpToDate>
  <CharactersWithSpaces>0</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2013-12-26T23:15:00Z</dcterms:created>
  <dc:creator>python-docx</dc:creator>
  <dc:description>generated by python-docx</dc:description>
  <cp:lastModifiedBy>崔杰生</cp:lastModifiedBy>
  <dcterms:modified xsi:type="dcterms:W3CDTF">2026-08-17T20:46:00Z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154410E9866BAEC22F7A5F6AD38E3A95_42</vt:lpwstr>
  </property>
</Properties>
</file>