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eastAsia="zh-CN"/>
        </w:rPr>
        <w:t>深度学习可以从组织学角度预测肠胃癌的微卫星标记的不稳定（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MSI）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eastAsia="zh-CN"/>
        </w:rPr>
        <w:t>朱梦瑶（大二</w:t>
      </w: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 xml:space="preserve"> 郭春明组）</w:t>
      </w:r>
    </w:p>
    <w:p>
      <w:pPr>
        <w:jc w:val="left"/>
        <w:rPr>
          <w:rFonts w:hint="eastAsia" w:ascii="宋体" w:hAnsi="宋体" w:eastAsia="宋体" w:cs="宋体"/>
          <w:i/>
          <w:i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/>
          <w:iCs/>
          <w:sz w:val="24"/>
          <w:szCs w:val="24"/>
          <w:lang w:eastAsia="zh-CN"/>
        </w:rPr>
        <w:t>作者：</w:t>
      </w:r>
      <w:r>
        <w:rPr>
          <w:rFonts w:ascii="宋体" w:hAnsi="宋体" w:eastAsia="宋体" w:cs="宋体"/>
          <w:i/>
          <w:iCs/>
          <w:sz w:val="24"/>
          <w:szCs w:val="24"/>
        </w:rPr>
        <w:t>Kather, J.N., Pearson, A.T., Halama, N. et al</w:t>
      </w:r>
      <w:r>
        <w:rPr>
          <w:rFonts w:hint="eastAsia" w:ascii="宋体" w:hAnsi="宋体" w:eastAsia="宋体" w:cs="宋体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i/>
          <w:iCs/>
          <w:sz w:val="24"/>
          <w:szCs w:val="24"/>
          <w:lang w:eastAsia="zh-CN"/>
        </w:rPr>
        <w:t>期刊：</w:t>
      </w:r>
      <w:r>
        <w:rPr>
          <w:rFonts w:hint="eastAsia" w:ascii="宋体" w:hAnsi="宋体" w:eastAsia="宋体" w:cs="宋体"/>
          <w:i/>
          <w:iCs/>
          <w:sz w:val="24"/>
          <w:szCs w:val="24"/>
          <w:lang w:val="en-US" w:eastAsia="zh-CN"/>
        </w:rPr>
        <w:t>nature  medicine</w:t>
      </w:r>
    </w:p>
    <w:p>
      <w:pPr>
        <w:jc w:val="left"/>
        <w:rPr>
          <w:rFonts w:hint="default" w:ascii="宋体" w:hAnsi="宋体" w:eastAsia="宋体" w:cs="宋体"/>
          <w:i/>
          <w:i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/>
          <w:iCs/>
          <w:sz w:val="24"/>
          <w:szCs w:val="24"/>
          <w:lang w:val="en-US" w:eastAsia="zh-CN"/>
        </w:rPr>
        <w:t>发表日期：2019年7月  原文链接：https://www.nature.com/articles/s41591-019-0462-y#Sec9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背景介绍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MSI是肿瘤的一个分子标志物，在一些肿瘤中，微卫星序列由于不稳定常出现重复、缺失等现象，这部分肿瘤便称为MSI肿瘤。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免疫疗法对于MSI肿瘤在临床上已经取得了很好的成效，MSI肿瘤约占胃腺癌（STAD）和结直肠癌（CRC）的15%。但并非所有病人都进行了MSI检测，因为这需要额外的基因或者免疫组化检测。而通过深度残留学习，可以实现在H&amp;E染色组织上直接预测肠胃癌的微卫星标记的不稳定，可以节约大量时间金钱人力物力，为更广泛的肠道肿瘤患者提供免疫治疗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主要步骤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95900" cy="2674620"/>
            <wp:effectExtent l="0" t="0" r="0" b="5080"/>
            <wp:docPr id="9" name="图片 9" descr="S]E[9)EE_07_}8@00%KPM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]E[9)EE_07_}8@00%KPMP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将卷积神经网络训练成肿瘤检测器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15900" cy="215900"/>
            <wp:effectExtent l="0" t="0" r="0" b="0"/>
            <wp:docPr id="5" name="图片 5" descr="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sourc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A convolutional neural network was trained as a tumor detector for STAD and CRC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2506345</wp:posOffset>
                </wp:positionH>
                <wp:positionV relativeFrom="paragraph">
                  <wp:posOffset>77470</wp:posOffset>
                </wp:positionV>
                <wp:extent cx="245745" cy="294005"/>
                <wp:effectExtent l="15240" t="6350" r="18415" b="17145"/>
                <wp:wrapNone/>
                <wp:docPr id="1" name="下箭头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49345" y="4161790"/>
                          <a:ext cx="245745" cy="2940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7.35pt;margin-top:6.1pt;height:23.15pt;width:19.35pt;z-index:251658240;v-text-anchor:middle;mso-width-relative:page;mso-height-relative:page;" fillcolor="#FFFFFF [3201]" filled="t" stroked="t" coordsize="21600,21600" o:gfxdata="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2fyv9cAAAAJAQAADwAAAAAAAAABACAAAAAiAAAAZHJzL2Rvd25y&#10;ZXYueG1sUEsBAhQAFAAAAAgAh07iQNYY/ftxAgAAxAQAAA4AAAAAAAAAAQAgAAAAJgEAAGRycy9l&#10;Mm9Eb2MueG1sUEsFBgAAAAAGAAYAWQEAAAkGAAAAAA==&#10;" adj="12573,5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将肿瘤H&amp;E染色区域切割成正方形的块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Scale bar, 4 mm. </w:t>
      </w:r>
      <w:r>
        <w:rPr>
          <w:rFonts w:ascii="宋体" w:hAnsi="宋体" w:eastAsia="宋体" w:cs="宋体"/>
          <w:b/>
          <w:sz w:val="24"/>
          <w:szCs w:val="24"/>
        </w:rPr>
        <w:t>b</w:t>
      </w:r>
      <w:r>
        <w:rPr>
          <w:rFonts w:ascii="宋体" w:hAnsi="宋体" w:eastAsia="宋体" w:cs="宋体"/>
          <w:sz w:val="24"/>
          <w:szCs w:val="24"/>
        </w:rPr>
        <w:t>,</w:t>
      </w:r>
      <w:r>
        <w:rPr>
          <w:rFonts w:ascii="宋体" w:hAnsi="宋体" w:eastAsia="宋体" w:cs="宋体"/>
          <w:b/>
          <w:sz w:val="24"/>
          <w:szCs w:val="24"/>
        </w:rPr>
        <w:t>c</w:t>
      </w:r>
      <w:r>
        <w:rPr>
          <w:rFonts w:ascii="宋体" w:hAnsi="宋体" w:eastAsia="宋体" w:cs="宋体"/>
          <w:sz w:val="24"/>
          <w:szCs w:val="24"/>
        </w:rPr>
        <w:t>, Tumor regions were cut into square tiles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55880</wp:posOffset>
                </wp:positionV>
                <wp:extent cx="245745" cy="294005"/>
                <wp:effectExtent l="15240" t="6350" r="18415" b="17145"/>
                <wp:wrapNone/>
                <wp:docPr id="2" name="下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" cy="2940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6.2pt;margin-top:4.4pt;height:23.15pt;width:19.35pt;z-index:251659264;v-text-anchor:middle;mso-width-relative:page;mso-height-relative:page;" fillcolor="#FFFFFF [3201]" filled="t" stroked="t" coordsize="21600,21600" o:gfxdata="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QF8Tu1gAAAAgBAAAPAAAAAAAAAAEAIAAAACIAAABkcnMvZG93bnJldi54bWxQSwECFAAU&#10;AAAACACHTuJAqjwUbGUCAAC4BAAADgAAAAAAAAABACAAAAAlAQAAZHJzL2Uyb0RvYy54bWxQSwUG&#10;AAAAAAYABgBZAQAA/AUAAAAA&#10;" adj="12573,5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对其颜色进行标准化，分为MSS和MSI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t>color-normalized and sorted into MSI and MSS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2477770</wp:posOffset>
                </wp:positionH>
                <wp:positionV relativeFrom="paragraph">
                  <wp:posOffset>83185</wp:posOffset>
                </wp:positionV>
                <wp:extent cx="245745" cy="294005"/>
                <wp:effectExtent l="15240" t="6350" r="18415" b="17145"/>
                <wp:wrapNone/>
                <wp:docPr id="3" name="下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" cy="2940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5.1pt;margin-top:6.55pt;height:23.15pt;width:19.35pt;z-index:251660288;v-text-anchor:middle;mso-width-relative:page;mso-height-relative:page;" fillcolor="#FFFFFF [3201]" filled="t" stroked="t" coordsize="21600,21600" o:gfxdata="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hSHSnXAAAACQEAAA8AAAAAAAAAAQAgAAAAIgAAAGRycy9kb3ducmV2LnhtbFBLAQIU&#10;ABQAAAAIAIdO4kB1A3lYZgIAALgEAAAOAAAAAAAAAAEAIAAAACYBAABkcnMvZTJvRG9jLnhtbFBL&#10;BQYAAAAABgAGAFkBAAD+BQAAAAA=&#10;" adj="12573,5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训练另一个卷积神经网络来分类MSI和MSS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Scale bar, 256 µm. </w:t>
      </w:r>
      <w:r>
        <w:rPr>
          <w:rFonts w:ascii="宋体" w:hAnsi="宋体" w:eastAsia="宋体" w:cs="宋体"/>
          <w:b/>
          <w:sz w:val="24"/>
          <w:szCs w:val="24"/>
        </w:rPr>
        <w:t>d</w:t>
      </w:r>
      <w:r>
        <w:rPr>
          <w:rFonts w:ascii="宋体" w:hAnsi="宋体" w:eastAsia="宋体" w:cs="宋体"/>
          <w:sz w:val="24"/>
          <w:szCs w:val="24"/>
        </w:rPr>
        <w:t>, Another network was trained to classify MSI versus MSS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2486660</wp:posOffset>
                </wp:positionH>
                <wp:positionV relativeFrom="paragraph">
                  <wp:posOffset>37465</wp:posOffset>
                </wp:positionV>
                <wp:extent cx="245745" cy="294005"/>
                <wp:effectExtent l="15240" t="6350" r="18415" b="17145"/>
                <wp:wrapNone/>
                <wp:docPr id="4" name="下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" cy="2940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95.8pt;margin-top:2.95pt;height:23.15pt;width:19.35pt;z-index:251661312;v-text-anchor:middle;mso-width-relative:page;mso-height-relative:page;" fillcolor="#FFFFFF [3201]" filled="t" stroked="t" coordsize="21600,21600" o:gfxdata="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5hUSfVAAAACAEAAA8AAAAAAAAAAQAgAAAAIgAAAGRycy9kb3ducmV2LnhtbFBLAQIUABQA&#10;AAAIAIdO4kBovHrVZQIAALgEAAAOAAAAAAAAAAEAIAAAACQBAABkcnMvZTJvRG9jLnhtbFBLBQYA&#10;AAAABgAGAFkBAAD7BQAAAAA=&#10;" adj="12573,5400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应用</w:t>
      </w:r>
    </w:p>
    <w:p>
      <w:pPr>
        <w:pStyle w:val="4"/>
        <w:keepNext w:val="0"/>
        <w:keepLines w:val="0"/>
        <w:widowControl/>
        <w:suppressLineNumbers w:val="0"/>
        <w:jc w:val="center"/>
      </w:pPr>
      <w:r>
        <w:t>This automatic pipeline was applied to held-out patient sets.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"https://www.nature.com/articles/s41591-019-0462-y/figures/1"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注：本文中提到，卷积神经网络resent18相较于Alexnet、VGG19更不容易过度拟合，故此实验采用的是resent18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4150" cy="184150"/>
            <wp:effectExtent l="0" t="0" r="5715" b="5715"/>
            <wp:docPr id="6" name="图片 6" descr="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esourc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收集标本，将图像区域手动标注并分类为肿瘤和非肿瘤两类（致密组织和松散组织）70%训练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5%验证，15%测试图像，用于将卷积神经网络训练成肿瘤检测器。</w:t>
      </w:r>
    </w:p>
    <w:p>
      <w:pPr>
        <w:jc w:val="left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实验结果：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90135" cy="3345180"/>
            <wp:effectExtent l="0" t="0" r="12065" b="7620"/>
            <wp:docPr id="10" name="图片 10" descr="CSD%{DQ3PK%(Q`Z(7X6CT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SD%{DQ3PK%(Q`Z(7X6CTZ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目前存在的问题</w:t>
      </w:r>
    </w:p>
    <w:p>
      <w:pPr>
        <w:jc w:val="left"/>
        <w:rPr>
          <w:rFonts w:hint="default"/>
          <w:b/>
          <w:bCs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3780790</wp:posOffset>
            </wp:positionH>
            <wp:positionV relativeFrom="paragraph">
              <wp:posOffset>-263525</wp:posOffset>
            </wp:positionV>
            <wp:extent cx="2280285" cy="3149600"/>
            <wp:effectExtent l="0" t="0" r="5715" b="0"/>
            <wp:wrapSquare wrapText="bothSides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29803" t="24806" r="47505" b="19474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*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分类能力不会超出训练集中的癌症类型和种族，要很大的训练队列来提高分类性能，因为网络可以学习到罕见的变异体，所以需要庞大的病理组织标本。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*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所需组织大小。深度学习预测肿瘤的MSI所需组织下限大约256um，活检足以预测MSI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*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一套经过训练的卷积神经网络只能用于采集样本的相同人群（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例如用美国人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样本训练出的卷积神经网络来诊断日本人，AUC值会大幅降低，诊断结果也变得不可靠）</w:t>
      </w:r>
    </w:p>
    <w:p>
      <w:pPr>
        <w:pStyle w:val="2"/>
        <w:keepNext w:val="0"/>
        <w:keepLines w:val="0"/>
        <w:widowControl/>
        <w:suppressLineNumbers w:val="0"/>
        <w:rPr>
          <w:sz w:val="28"/>
          <w:szCs w:val="28"/>
        </w:rPr>
      </w:pPr>
    </w:p>
    <w:p/>
    <w:p>
      <w:pPr>
        <w:pStyle w:val="3"/>
        <w:bidi w:val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t>可节约的成本</w:t>
      </w:r>
    </w:p>
    <w:p>
      <w:pPr>
        <w:rPr>
          <w:rFonts w:hint="eastAsia" w:eastAsia="宋体"/>
          <w:sz w:val="28"/>
          <w:szCs w:val="28"/>
          <w:lang w:eastAsia="zh-CN"/>
        </w:rPr>
      </w:pPr>
    </w:p>
    <w:p>
      <w:pPr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4733290" cy="4749165"/>
            <wp:effectExtent l="0" t="0" r="3810" b="635"/>
            <wp:docPr id="12" name="图片 12" descr="U(IOH`HUIQZNBD{CBB6OT@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(IOH`HUIQZNBD{CBB6OT@G"/>
                    <pic:cNvPicPr>
                      <a:picLocks noChangeAspect="1"/>
                    </pic:cNvPicPr>
                  </pic:nvPicPr>
                  <pic:blipFill>
                    <a:blip r:embed="rId9"/>
                    <a:srcRect r="321" b="1850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8"/>
          <w:szCs w:val="28"/>
          <w:lang w:eastAsia="zh-CN"/>
        </w:rPr>
      </w:pPr>
    </w:p>
    <w:p>
      <w:pPr>
        <w:pStyle w:val="3"/>
        <w:bidi w:val="0"/>
        <w:rPr>
          <w:rStyle w:val="7"/>
        </w:rPr>
      </w:pPr>
      <w:r>
        <w:t>Data availability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All whole-slide images for datasets are available at </w:t>
      </w:r>
      <w:r>
        <w:fldChar w:fldCharType="begin"/>
      </w:r>
      <w:r>
        <w:instrText xml:space="preserve"> HYPERLINK "https://portal.gdc.cancer.gov/" </w:instrText>
      </w:r>
      <w:r>
        <w:fldChar w:fldCharType="separate"/>
      </w:r>
      <w:r>
        <w:rPr>
          <w:rStyle w:val="7"/>
        </w:rPr>
        <w:t>https://portal.gdc.cancer.gov/</w:t>
      </w:r>
      <w:r>
        <w:fldChar w:fldCharType="end"/>
      </w:r>
      <w:r>
        <w:t xml:space="preserve">. Training images for tumor detection are available at </w:t>
      </w:r>
      <w:r>
        <w:fldChar w:fldCharType="begin"/>
      </w:r>
      <w:r>
        <w:instrText xml:space="preserve"> HYPERLINK "https://doi.org/10.5281/zenodo.2530789" </w:instrText>
      </w:r>
      <w:r>
        <w:fldChar w:fldCharType="separate"/>
      </w:r>
      <w:r>
        <w:rPr>
          <w:rStyle w:val="7"/>
        </w:rPr>
        <w:t>https://doi.org/10.5281/zenodo.2530789</w:t>
      </w:r>
      <w:r>
        <w:fldChar w:fldCharType="end"/>
      </w:r>
      <w:r>
        <w:t xml:space="preserve">. Training images for MSI detection are available at </w:t>
      </w:r>
      <w:r>
        <w:fldChar w:fldCharType="begin"/>
      </w:r>
      <w:r>
        <w:instrText xml:space="preserve"> HYPERLINK "https://doi.org/10.5281/zenodo.2530835" </w:instrText>
      </w:r>
      <w:r>
        <w:fldChar w:fldCharType="separate"/>
      </w:r>
      <w:r>
        <w:rPr>
          <w:rStyle w:val="7"/>
        </w:rPr>
        <w:t>https://doi.org/10.5281/zenodo.2530835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HYPERLINK "https://doi.org/10.5281/zenodo.2532612" </w:instrText>
      </w:r>
      <w:r>
        <w:fldChar w:fldCharType="separate"/>
      </w:r>
      <w:r>
        <w:rPr>
          <w:rStyle w:val="7"/>
        </w:rPr>
        <w:t>https://doi.org/10.5281/zenodo.2532612</w:t>
      </w:r>
      <w:r>
        <w:fldChar w:fldCharType="end"/>
      </w:r>
      <w:r>
        <w:t xml:space="preserve">. Source data for Fig. </w:t>
      </w:r>
      <w:r>
        <w:fldChar w:fldCharType="begin"/>
      </w:r>
      <w:r>
        <w:instrText xml:space="preserve"> HYPERLINK "https://www.nature.com/articles/s41591-019-0462-y" \l "Fig1" </w:instrText>
      </w:r>
      <w:r>
        <w:fldChar w:fldCharType="separate"/>
      </w:r>
      <w:r>
        <w:rPr>
          <w:rStyle w:val="7"/>
        </w:rPr>
        <w:t>1</w:t>
      </w:r>
      <w:r>
        <w:fldChar w:fldCharType="end"/>
      </w:r>
      <w:r>
        <w:t xml:space="preserve"> are available in public repositories at </w:t>
      </w:r>
      <w:r>
        <w:fldChar w:fldCharType="begin"/>
      </w:r>
      <w:r>
        <w:instrText xml:space="preserve"> HYPERLINK "https://doi.org/10.5281/zenodo.2530789" </w:instrText>
      </w:r>
      <w:r>
        <w:fldChar w:fldCharType="separate"/>
      </w:r>
      <w:r>
        <w:rPr>
          <w:rStyle w:val="7"/>
        </w:rPr>
        <w:t>https://doi.org/10.5281/zenodo.2530789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"https://doi.org/10.5281/zenodo.2530835" </w:instrText>
      </w:r>
      <w:r>
        <w:fldChar w:fldCharType="separate"/>
      </w:r>
      <w:r>
        <w:rPr>
          <w:rStyle w:val="7"/>
        </w:rPr>
        <w:t>https://doi.org/10.5281/zenodo.2530835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HYPERLINK "https://doi.org/10.5281/zenodo.2532612" </w:instrText>
      </w:r>
      <w:r>
        <w:fldChar w:fldCharType="separate"/>
      </w:r>
      <w:r>
        <w:rPr>
          <w:rStyle w:val="7"/>
        </w:rPr>
        <w:t>https://doi.org/10.5281/zenodo.2532612</w:t>
      </w:r>
      <w:r>
        <w:fldChar w:fldCharType="end"/>
      </w:r>
      <w:r>
        <w:t xml:space="preserve">. Source Data for Figs. </w:t>
      </w:r>
      <w:r>
        <w:fldChar w:fldCharType="begin"/>
      </w:r>
      <w:r>
        <w:instrText xml:space="preserve"> HYPERLINK "https://www.nature.com/articles/s41591-019-0462-y" \l "Fig1" </w:instrText>
      </w:r>
      <w:r>
        <w:fldChar w:fldCharType="separate"/>
      </w:r>
      <w:r>
        <w:rPr>
          <w:rStyle w:val="7"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"https://www.nature.com/articles/s41591-019-0462-y" \l "Fig2" </w:instrText>
      </w:r>
      <w:r>
        <w:fldChar w:fldCharType="separate"/>
      </w:r>
      <w:r>
        <w:rPr>
          <w:rStyle w:val="7"/>
        </w:rPr>
        <w:t>2</w:t>
      </w:r>
      <w:r>
        <w:fldChar w:fldCharType="end"/>
      </w:r>
      <w:r>
        <w:t xml:space="preserve"> and Extended Data Figs. </w:t>
      </w:r>
      <w:r>
        <w:fldChar w:fldCharType="begin"/>
      </w:r>
      <w:r>
        <w:instrText xml:space="preserve"> HYPERLINK "https://www.nature.com/articles/s41591-019-0462-y" \l "Fig3" </w:instrText>
      </w:r>
      <w:r>
        <w:fldChar w:fldCharType="separate"/>
      </w:r>
      <w:r>
        <w:rPr>
          <w:rStyle w:val="7"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HYPERLINK "https://www.nature.com/articles/s41591-019-0462-y" \l "Fig4" </w:instrText>
      </w:r>
      <w:r>
        <w:fldChar w:fldCharType="separate"/>
      </w:r>
      <w:r>
        <w:rPr>
          <w:rStyle w:val="7"/>
        </w:rPr>
        <w:t>2</w:t>
      </w:r>
      <w:r>
        <w:fldChar w:fldCharType="end"/>
      </w:r>
      <w:r>
        <w:t xml:space="preserve"> containing the raw data for these figures are available in the online version of the paper.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5D7A"/>
    <w:rsid w:val="09EE693F"/>
    <w:rsid w:val="19B35768"/>
    <w:rsid w:val="2DF67A38"/>
    <w:rsid w:val="37A043AE"/>
    <w:rsid w:val="6A53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1.sv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2020-09-12T07:51:00Z</dcterms:created>
  <dc:creator>zhufu</dc:creator>
  <cp:lastModifiedBy>多巴胺贩卖店</cp:lastModifiedBy>
  <dcterms:modified xsi:type="dcterms:W3CDTF">2020-09-12T09:31:49Z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