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32"/>
          <w:szCs w:val="32"/>
        </w:rPr>
        <w:t xml:space="preserve">DECISION MEMORANDUM</w:t>
      </w:r>
    </w:p>
    <w:p>
      <w:pPr>
        <w:pBdr>
          <w:bottom w:val="single" w:color="8A1C1C" w:sz="12"/>
        </w:pBdr>
        <w:spacing w:after="200"/>
      </w:pPr>
      <w:r>
        <w:rPr>
          <w:i/>
          <w:iCs/>
          <w:color w:val="555555"/>
          <w:sz w:val="20"/>
          <w:szCs w:val="20"/>
        </w:rPr>
        <w:t xml:space="preserve">For advisor review and sign-off — pre-registration amendment</w:t>
      </w:r>
    </w:p>
    <w:tbl>
      <w:tblPr>
        <w:tblW w:type="dxa" w:w="9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00"/>
        <w:gridCol w:w="7900"/>
      </w:tblGrid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Project</w:t>
            </w:r>
          </w:p>
        </w:tc>
        <w:tc>
          <w:tcPr>
            <w:tcW w:type="dxa" w:w="7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RAC-HRP — Regime-Adaptive Clustering Hierarchical Risk Parity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Phase</w:t>
            </w:r>
          </w:p>
        </w:tc>
        <w:tc>
          <w:tcPr>
            <w:tcW w:type="dxa" w:w="7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0.5 — Data Engineering &amp; Staged Build (Null Gate v1)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Om Patel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Decision owner</w:t>
            </w:r>
          </w:p>
        </w:tc>
        <w:tc>
          <w:tcPr>
            <w:tcW w:type="dxa" w:w="7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[Advisor name] — sign-off required before any code change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Status</w:t>
            </w:r>
          </w:p>
        </w:tc>
        <w:tc>
          <w:tcPr>
            <w:tcW w:type="dxa" w:w="7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OPEN — Phase 1 blocked pending this ruling</w:t>
            </w:r>
          </w:p>
        </w:tc>
      </w:tr>
    </w:tbl>
    <w:p>
      <w:pPr>
        <w:pStyle w:val="Heading1"/>
        <w:spacing w:after="120" w:before="260"/>
      </w:pPr>
      <w:r>
        <w:rPr>
          <w:color w:val="1F3A5F"/>
        </w:rPr>
        <w:t xml:space="preserve">1.  Decision requested</w:t>
      </w:r>
    </w:p>
    <w:p>
      <w:pPr>
        <w:spacing w:after="120" w:line="276"/>
      </w:pPr>
      <w:r>
        <w:t xml:space="preserve">Null Gate v1 returned </w:t>
      </w:r>
      <w:r>
        <w:rPr>
          <w:b/>
          <w:bCs/>
          <w:color w:val="8A1C1C"/>
        </w:rPr>
        <w:t xml:space="preserve">FAIL</w:t>
      </w:r>
      <w:r>
        <w:t xml:space="preserve"> on a single cell: RAC-HRP versus ERC under Environment D (regime-switching volatility, zero return signal). Every other cell across all four null environments passed. This memo asks you to rule between two options for resolving that cell. </w:t>
      </w:r>
      <w:r>
        <w:rPr>
          <w:b/>
          <w:bCs/>
        </w:rPr>
        <w:t xml:space="preserve">No code has been changed</w:t>
      </w:r>
      <w:r>
        <w:t xml:space="preserve">; the decision is deliberately deferred to you so that the choice is authorized independently of the person who benefits from it.</w:t>
      </w:r>
    </w:p>
    <w:p>
      <w:pPr>
        <w:pStyle w:val="Heading1"/>
        <w:spacing w:after="120" w:before="260"/>
      </w:pPr>
      <w:r>
        <w:rPr>
          <w:color w:val="1F3A5F"/>
        </w:rPr>
        <w:t xml:space="preserve">2.  Background in one paragraph</w:t>
      </w:r>
    </w:p>
    <w:p>
      <w:pPr>
        <w:spacing w:after="120" w:line="276"/>
      </w:pPr>
      <w:r>
        <w:t xml:space="preserve">The null gate destroys the signal in the data, keeps the pipeline, and demands a flat result — a pipeline that produces an edge on signal-free data is manufacturing it. The decision rule is an equivalence test: the entire 95% confidence interval for the mean Sharpe difference (ΔSharpe) must fall inside a ±0.10 margin of practical irrelevance. Results below are from 100 replications on the development region only; the test region (2023–2024) has not been touched.</w:t>
      </w:r>
    </w:p>
    <w:p>
      <w:pPr>
        <w:pStyle w:val="Heading1"/>
        <w:spacing w:after="120" w:before="260"/>
      </w:pPr>
      <w:r>
        <w:rPr>
          <w:color w:val="1F3A5F"/>
        </w:rPr>
        <w:t xml:space="preserve">3.  What passed — including the result that most threatened the thesis</w:t>
      </w:r>
    </w:p>
    <w:p>
      <w:pPr>
        <w:spacing w:after="120" w:line="276"/>
      </w:pPr>
      <w:r>
        <w:t xml:space="preserve">Environment C (trigger-timing null) is the environment purpose-built to falsify this project’s core claim. It keeps real returns but scrambles </w:t>
      </w:r>
      <w:r>
        <w:rPr>
          <w:i/>
          <w:iCs/>
        </w:rPr>
        <w:t xml:space="preserve">when</w:t>
      </w:r>
      <w:r>
        <w:t xml:space="preserve"> the absorption-ratio trigger fires. If RAC-HRP beat its baselines with a randomly-timed trigger, the absorption ratio would be contributing nothing. It did not:</w:t>
      </w:r>
    </w:p>
    <w:p>
      <w:pPr>
        <w:pStyle w:val="ListParagraph"/>
        <w:numPr>
          <w:ilvl w:val="0"/>
          <w:numId w:val="1"/>
        </w:numPr>
        <w:spacing w:after="80" w:line="272"/>
      </w:pPr>
      <w:r>
        <w:t xml:space="preserve">C vs HRP_static: ΔSharpe −0.0016, CI [−0.003, +0.000] — </w:t>
      </w:r>
      <w:r>
        <w:rPr>
          <w:b/>
          <w:bCs/>
          <w:color w:val="1B7A3A"/>
        </w:rPr>
        <w:t xml:space="preserve">PASS</w:t>
      </w:r>
    </w:p>
    <w:p>
      <w:pPr>
        <w:pStyle w:val="ListParagraph"/>
        <w:numPr>
          <w:ilvl w:val="0"/>
          <w:numId w:val="1"/>
        </w:numPr>
        <w:spacing w:after="80" w:line="272"/>
      </w:pPr>
      <w:r>
        <w:t xml:space="preserve">C vs HRP_periodic_3: ΔSharpe +0.0046, CI [+0.003, +0.006] — </w:t>
      </w:r>
      <w:r>
        <w:rPr>
          <w:b/>
          <w:bCs/>
          <w:color w:val="1B7A3A"/>
        </w:rPr>
        <w:t xml:space="preserve">PASS</w:t>
      </w:r>
    </w:p>
    <w:p>
      <w:pPr>
        <w:spacing w:after="120" w:line="276"/>
      </w:pPr>
      <w:r>
        <w:t xml:space="preserve">Environments A (i.i.d. Gaussian) and B (cross-sectional shuffle) also passed cleanly, ruling out look-ahead and identity leakage. </w:t>
      </w:r>
      <w:r>
        <w:rPr>
          <w:b/>
          <w:bCs/>
        </w:rPr>
        <w:t xml:space="preserve">The pipeline’s core is sound and the central thesis survived its sharpest test.</w:t>
      </w:r>
    </w:p>
    <w:p>
      <w:pPr>
        <w:pStyle w:val="Heading1"/>
        <w:spacing w:after="120" w:before="260"/>
      </w:pPr>
      <w:r>
        <w:rPr>
          <w:color w:val="1F3A5F"/>
        </w:rPr>
        <w:t xml:space="preserve">4.  The single failing cell, and the pattern around it</w:t>
      </w:r>
    </w:p>
    <w:p>
      <w:pPr>
        <w:spacing w:after="120" w:line="276"/>
      </w:pPr>
      <w:r>
        <w:t xml:space="preserve">Environment D shows RAC-HRP with no edge over EW, no edge over static HRP, and a large edge over ERC specifically:</w:t>
      </w:r>
    </w:p>
    <w:tbl>
      <w:tblPr>
        <w:tblW w:type="dxa" w:w="94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1"/>
          <w:insideV w:val="single" w:color="DDDDDD" w:sz="1"/>
        </w:tblBorders>
      </w:tblPr>
      <w:tblGrid>
        <w:gridCol w:w="3400"/>
        <w:gridCol w:w="1500"/>
        <w:gridCol w:w="2600"/>
        <w:gridCol w:w="1900"/>
      </w:tblGrid>
      <w:tr>
        <w:trPr>
          <w:tblHeader/>
        </w:trPr>
        <w:tc>
          <w:tcPr>
            <w:tcW w:type="dxa" w:w="34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Comparison (Environment D)</w:t>
            </w:r>
          </w:p>
        </w:tc>
        <w:tc>
          <w:tcPr>
            <w:tcW w:type="dxa" w:w="15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 ΔSharpe</w:t>
            </w:r>
          </w:p>
        </w:tc>
        <w:tc>
          <w:tcPr>
            <w:tcW w:type="dxa" w:w="26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95% CI</w:t>
            </w:r>
          </w:p>
        </w:tc>
        <w:tc>
          <w:tcPr>
            <w:tcW w:type="dxa" w:w="190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RAC-HRP vs EW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−0.038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[−0.108, +0.032]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B7A3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40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RAC-HRP vs HRP_static  (same allocator)</w:t>
            </w:r>
          </w:p>
        </w:tc>
        <w:tc>
          <w:tcPr>
            <w:tcW w:type="dxa" w:w="150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−0.006</w:t>
            </w:r>
          </w:p>
        </w:tc>
        <w:tc>
          <w:tcPr>
            <w:tcW w:type="dxa" w:w="260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[−0.066, +0.054]</w:t>
            </w:r>
          </w:p>
        </w:tc>
        <w:tc>
          <w:tcPr>
            <w:tcW w:type="dxa" w:w="190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B7A3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RAC-HRP vs ERC  (different allocator)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+0.102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[+0.038, +0.167]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8A1C1C"/>
                <w:sz w:val="20"/>
                <w:szCs w:val="20"/>
              </w:rPr>
              <w:t xml:space="preserve">FAIL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t xml:space="preserve">The interpretation turns entirely on this pattern. </w:t>
      </w:r>
      <w:r>
        <w:rPr>
          <w:b/>
          <w:bCs/>
        </w:rPr>
        <w:t xml:space="preserve">A trigger that manufactured signal from noise would beat every comparator.</w:t>
      </w:r>
      <w:r>
        <w:t xml:space="preserve"> This one beats neither same-allocator baseline (EW is allocation-free; HRP_static is the identical allocator without re-clustering) and beats only ERC — a different allocator family. The +0.10 is therefore an HRP-versus-ERC mechanical difference under volatility clustering (HRP’s inverse-variance bisection re-weights toward newly-calm assets faster than ERC’s equal-risk-contribution solve), a property present in static HRP as well. It is not a property of the re-clustering trigger.</w:t>
      </w:r>
    </w:p>
    <w:p>
      <w:pPr>
        <w:pStyle w:val="Heading1"/>
        <w:spacing w:after="120" w:before="260"/>
      </w:pPr>
      <w:r>
        <w:rPr>
          <w:color w:val="1F3A5F"/>
        </w:rPr>
        <w:t xml:space="preserve">5.  The two options</w:t>
      </w:r>
    </w:p>
    <w:p>
      <w:pPr>
        <w:pStyle w:val="Heading2"/>
      </w:pPr>
      <w:r>
        <w:rPr>
          <w:color w:val="222222"/>
        </w:rPr>
        <w:t xml:space="preserve">Option 1 — Restrict Environment D to same-policy comparators</w:t>
      </w:r>
    </w:p>
    <w:p>
      <w:pPr>
        <w:spacing w:after="120" w:line="276"/>
      </w:pPr>
      <w:r>
        <w:rPr>
          <w:b/>
          <w:bCs/>
        </w:rPr>
        <w:t xml:space="preserve">Rationale: </w:t>
      </w:r>
      <w:r>
        <w:t xml:space="preserve">a null environment testing the </w:t>
      </w:r>
      <w:r>
        <w:rPr>
          <w:i/>
          <w:iCs/>
        </w:rPr>
        <w:t xml:space="preserve">trigger</w:t>
      </w:r>
      <w:r>
        <w:t xml:space="preserve"> must compare RAC-HRP against strategies that differ from it </w:t>
      </w:r>
      <w:r>
        <w:rPr>
          <w:i/>
          <w:iCs/>
        </w:rPr>
        <w:t xml:space="preserve">only</w:t>
      </w:r>
      <w:r>
        <w:t xml:space="preserve"> in re-clustering policy (static HRP, periodic HRP). Comparing across allocator families measures allocator mechanics, not trigger validity. This identical principle was already applied to Environment C during Phase 0.5 implementation, </w:t>
      </w:r>
      <w:r>
        <w:rPr>
          <w:b/>
          <w:bCs/>
        </w:rPr>
        <w:t xml:space="preserve">before any real data was seen</w:t>
      </w:r>
      <w:r>
        <w:t xml:space="preserve"> — Environment C uses same-policy comparators for exactly this reason. Extending it to Environment D is consistency, not accommodation.</w:t>
      </w:r>
    </w:p>
    <w:p>
      <w:pPr>
        <w:spacing w:after="120" w:line="276"/>
      </w:pPr>
      <w:r>
        <w:rPr>
          <w:b/>
          <w:bCs/>
        </w:rPr>
        <w:t xml:space="preserve">Consequence: </w:t>
      </w:r>
      <w:r>
        <w:t xml:space="preserve">under same-policy comparison, D vs HRP_static is −0.006 (CI [−0.066, +0.054]) — a clean PASS. The gate passes.</w:t>
      </w:r>
    </w:p>
    <w:p>
      <w:pPr>
        <w:spacing w:after="120" w:line="276"/>
      </w:pPr>
      <w:r>
        <w:rPr>
          <w:b/>
          <w:bCs/>
        </w:rPr>
        <w:t xml:space="preserve">Honesty burden: </w:t>
      </w:r>
      <w:r>
        <w:t xml:space="preserve">the D-vs-ERC +0.10 result is reported in full and explained, not hidden. The changelog must record that the comparator restriction is an extension of a pre-existing principle, with its Environment-C precedent cited.</w:t>
      </w:r>
    </w:p>
    <w:p>
      <w:pPr>
        <w:spacing w:after="120" w:line="276"/>
      </w:pPr>
      <w:r>
        <w:rPr>
          <w:b/>
          <w:bCs/>
          <w:color w:val="8A1C1C"/>
        </w:rPr>
        <w:t xml:space="preserve">Risk: </w:t>
      </w:r>
      <w:r>
        <w:t xml:space="preserve">the change is made immediately after the cell it affects produced a FAIL. Although the reasoning predates the result, the </w:t>
      </w:r>
      <w:r>
        <w:rPr>
          <w:i/>
          <w:iCs/>
        </w:rPr>
        <w:t xml:space="preserve">sequence</w:t>
      </w:r>
      <w:r>
        <w:t xml:space="preserve"> resembles altering a test until it passes. This risk is mitigated only by this memo and your countersignature — which is the entire reason the decision is being routed to you rather than made unilaterally.</w:t>
      </w:r>
    </w:p>
    <w:p>
      <w:pPr>
        <w:pStyle w:val="Heading2"/>
      </w:pPr>
      <w:r>
        <w:rPr>
          <w:color w:val="222222"/>
        </w:rPr>
        <w:t xml:space="preserve">Option 2 — Keep the gate unchanged; report the FAIL as a characterized finding</w:t>
      </w:r>
    </w:p>
    <w:p>
      <w:pPr>
        <w:spacing w:after="120" w:line="276"/>
      </w:pPr>
      <w:r>
        <w:rPr>
          <w:b/>
          <w:bCs/>
        </w:rPr>
        <w:t xml:space="preserve">Rationale: </w:t>
      </w:r>
      <w:r>
        <w:t xml:space="preserve">touch nothing. Accept that the full pipeline (HRP allocator plus trigger) outperforms ERC under volatility regimes, disclose it, and characterize it as an HRP-family property — demonstrably present in static HRP too, and therefore not a trigger artifact, which the D-vs-HRP_static PASS establishes.</w:t>
      </w:r>
    </w:p>
    <w:p>
      <w:pPr>
        <w:spacing w:after="120" w:line="276"/>
      </w:pPr>
      <w:r>
        <w:rPr>
          <w:b/>
          <w:bCs/>
        </w:rPr>
        <w:t xml:space="preserve">Consequence: </w:t>
      </w:r>
      <w:r>
        <w:t xml:space="preserve">the headline null-gate verdict remains FAIL, explained in prose. More conservative and immune to any accusation of moving goalposts, at the cost of a weaker headline result to argue from.</w:t>
      </w:r>
    </w:p>
    <w:p>
      <w:pPr>
        <w:pStyle w:val="Heading1"/>
        <w:spacing w:after="120" w:before="260"/>
      </w:pPr>
      <w:r>
        <w:rPr>
          <w:color w:val="1F3A5F"/>
        </w:rPr>
        <w:t xml:space="preserve">6.  Preparer’s recommendation</w:t>
      </w:r>
    </w:p>
    <w:p>
      <w:pPr>
        <w:spacing w:after="120" w:line="276"/>
      </w:pPr>
      <w:r>
        <w:t xml:space="preserve">On the merits I favor Option 1: the same-policy principle is correct, not merely convenient, and consistency with Environment C is a strong defense. On optics I acknowledge Option 2 is safer. Because the value of either choice depends on it being authorized independently of me, I am not implementing anything until you rule. My recommendation is advisory only.</w:t>
      </w:r>
    </w:p>
    <w:p>
      <w:pPr>
        <w:pStyle w:val="Heading1"/>
        <w:spacing w:after="120" w:before="260"/>
      </w:pPr>
      <w:r>
        <w:rPr>
          <w:color w:val="1F3A5F"/>
        </w:rPr>
        <w:t xml:space="preserve">7.  Two caveats you should weigh</w:t>
      </w:r>
    </w:p>
    <w:p>
      <w:pPr>
        <w:pStyle w:val="ListParagraph"/>
        <w:numPr>
          <w:ilvl w:val="0"/>
          <w:numId w:val="1"/>
        </w:numPr>
        <w:spacing w:after="80" w:line="272"/>
      </w:pPr>
      <w:r>
        <w:rPr>
          <w:b/>
          <w:bCs/>
        </w:rPr>
        <w:t xml:space="preserve">Power floor. </w:t>
      </w:r>
      <w:r>
        <w:t xml:space="preserve">At 100 replications the gate’s positive control is INCONCLUSIVE at zero injected signal (CI half-width ≈ 0.06). The ±0.10 margin sits near the resolution limit for the noisier environments. Whichever option is chosen, the margin/rep-count tension should be noted.</w:t>
      </w:r>
    </w:p>
    <w:p>
      <w:pPr>
        <w:pStyle w:val="ListParagraph"/>
        <w:numPr>
          <w:ilvl w:val="0"/>
          <w:numId w:val="1"/>
        </w:numPr>
        <w:spacing w:after="80" w:line="272"/>
      </w:pPr>
      <w:r>
        <w:rPr>
          <w:b/>
          <w:bCs/>
        </w:rPr>
        <w:t xml:space="preserve">Trigger firing rate. </w:t>
      </w:r>
      <w:r>
        <w:t xml:space="preserve">The absorption-ratio trigger fires on ~47% of rebalances on real data. Independent of this decision, that raises whether a single fixed 1σ threshold is doing meaningful selection (cf. the pre-registered ΔAR sensitivity-curve gate) — a Phase 2 question, flagged here for awareness.</w:t>
      </w:r>
    </w:p>
    <w:p>
      <w:pPr>
        <w:pStyle w:val="Heading1"/>
        <w:spacing w:after="120" w:before="260"/>
      </w:pPr>
      <w:r>
        <w:rPr>
          <w:color w:val="1F3A5F"/>
        </w:rPr>
        <w:t xml:space="preserve">8.  Sign-off</w:t>
      </w:r>
    </w:p>
    <w:p>
      <w:pPr>
        <w:spacing w:after="120" w:line="276"/>
      </w:pPr>
      <w:r>
        <w:t xml:space="preserve">Ruling (circle one):     Option 1     /     Option 2     /     Other (specify below)</w:t>
      </w:r>
    </w:p>
    <w:p>
      <w:pPr>
        <w:spacing w:after="200"/>
      </w:pPr>
      <w:r>
        <w:t xml:space="preserve"/>
      </w:r>
    </w:p>
    <w:tbl>
      <w:tblPr>
        <w:tblW w:type="dxa" w:w="9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0"/>
        <w:gridCol w:w="4700"/>
      </w:tblGrid>
      <w:tr>
        <w:tc>
          <w:tcPr>
            <w:tcW w:type="dxa" w:w="4700"/>
            <w:tcMar>
              <w:right w:type="dxa" w:w="200"/>
            </w:tcMar>
          </w:tcPr>
          <w:p>
            <w:pPr>
              <w:pBdr>
                <w:bottom w:val="single" w:color="888888" w:sz="4"/>
              </w:pBdr>
              <w:spacing w:before="240"/>
            </w:pPr>
            <w:r>
              <w:t xml:space="preserve"/>
            </w:r>
          </w:p>
          <w:p>
            <w:r>
              <w:rPr>
                <w:color w:val="555555"/>
                <w:sz w:val="18"/>
                <w:szCs w:val="18"/>
              </w:rPr>
              <w:t xml:space="preserve">Advisor signature / date</w:t>
            </w:r>
          </w:p>
        </w:tc>
        <w:tc>
          <w:tcPr>
            <w:tcW w:type="dxa" w:w="4700"/>
          </w:tcPr>
          <w:p>
            <w:pPr>
              <w:pBdr>
                <w:bottom w:val="single" w:color="888888" w:sz="4"/>
              </w:pBdr>
              <w:spacing w:before="240"/>
            </w:pPr>
            <w:r>
              <w:t xml:space="preserve"/>
            </w:r>
          </w:p>
          <w:p>
            <w:r>
              <w:rPr>
                <w:color w:val="555555"/>
                <w:sz w:val="18"/>
                <w:szCs w:val="18"/>
              </w:rPr>
              <w:t xml:space="preserve">Notes / other ruling</w:t>
            </w:r>
          </w:p>
        </w:tc>
      </w:tr>
    </w:tbl>
    <w:sectPr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2222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RAC-HRP Decision Memo — Null Gate Environment D</dc:title>
  <dc:creator>Om Patel</dc:creator>
  <cp:lastModifiedBy>Un-named</cp:lastModifiedBy>
  <cp:revision>1</cp:revision>
  <dcterms:created xsi:type="dcterms:W3CDTF">2026-07-15T22:02:59.725Z</dcterms:created>
  <dcterms:modified xsi:type="dcterms:W3CDTF">2026-07-15T22:02:59.739Z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