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29"/>
          <w:szCs w:val="29"/>
        </w:rPr>
        <w:t xml:space="preserve">NULL GATE v2 — PROTOCOL SPECIFICATION</w:t>
      </w:r>
    </w:p>
    <w:p>
      <w:pPr>
        <w:pBdr>
          <w:bottom w:val="single" w:color="8A1C1C" w:sz="12"/>
        </w:pBdr>
        <w:spacing w:after="180"/>
      </w:pPr>
      <w:r>
        <w:rPr>
          <w:i/>
          <w:iCs/>
          <w:color w:val="555555"/>
          <w:sz w:val="20"/>
          <w:szCs w:val="20"/>
        </w:rPr>
        <w:t xml:space="preserve">Revision 2 — incorporates advisor rulings on §4, §6, §7. To be frozen before execution.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7700"/>
      </w:tblGrid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7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RAC-HRP — Regime-Adaptive Clustering Hierarchical Risk Parity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Null Gate v1 (results preserved as immutable record; not reclassified)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Om Patel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[Advisor name] — sign-off required before v2 is executed or frozen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DRAFT rev.2 — Phase 1 blocked pending sign-off + freeze</w:t>
            </w:r>
          </w:p>
        </w:tc>
      </w:tr>
    </w:tbl>
    <w:p>
      <w:pPr>
        <w:pStyle w:val="Heading1"/>
        <w:spacing w:after="100" w:before="250"/>
      </w:pPr>
      <w:r>
        <w:rPr>
          <w:color w:val="1F3A5F"/>
        </w:rPr>
        <w:t xml:space="preserve">1.  Purpose</w:t>
      </w:r>
    </w:p>
    <w:p>
      <w:pPr>
        <w:spacing w:after="110" w:line="274"/>
      </w:pPr>
      <w:r>
        <w:t xml:space="preserve">Null Gate v1 conflated two questions in one rule: (i) does the absorption-ratio </w:t>
      </w:r>
      <w:r>
        <w:rPr>
          <w:i/>
          <w:iCs/>
        </w:rPr>
        <w:t xml:space="preserve">trigger</w:t>
      </w:r>
      <w:r>
        <w:t xml:space="preserve"> manufacture a positive advantage from noise, and (ii) do different allocator </w:t>
      </w:r>
      <w:r>
        <w:rPr>
          <w:i/>
          <w:iCs/>
        </w:rPr>
        <w:t xml:space="preserve">families</w:t>
      </w:r>
      <w:r>
        <w:t xml:space="preserve"> differ under a null. The Environment-D failure (RAC-HRP vs ERC, +0.10) was driven by (ii): the Condition-2 paired contrast showed </w:t>
      </w:r>
      <w:r>
        <w:rPr>
          <w:i/>
          <w:iCs/>
        </w:rPr>
        <w:t xml:space="preserve">static</w:t>
      </w:r>
      <w:r>
        <w:t xml:space="preserve"> HRP — which never re-clusters — beats ERC by +0.109 (paired 95% CI [+0.049, +0.168]), so the trigger is not the source. v2 separates the two structurally and freezes all decision rules prospectively.</w:t>
      </w:r>
    </w:p>
    <w:p>
      <w:pPr>
        <w:pStyle w:val="Heading1"/>
        <w:spacing w:after="100" w:before="250"/>
      </w:pPr>
      <w:r>
        <w:rPr>
          <w:color w:val="1F3A5F"/>
        </w:rPr>
        <w:t xml:space="preserve">2.  Two-tier structure</w:t>
      </w:r>
    </w:p>
    <w:p>
      <w:pPr>
        <w:pStyle w:val="Heading2"/>
        <w:spacing w:after="80" w:before="190"/>
      </w:pPr>
      <w:r>
        <w:rPr>
          <w:color w:val="222222"/>
        </w:rPr>
        <w:t xml:space="preserve">2.1  Primary gate — trigger validity (gating)</w:t>
      </w:r>
    </w:p>
    <w:p>
      <w:pPr>
        <w:spacing w:after="110" w:line="274"/>
      </w:pPr>
      <w:r>
        <w:t xml:space="preserve">RAC-HRP compared only against strategies differing from it </w:t>
      </w:r>
      <w:r>
        <w:rPr>
          <w:b/>
          <w:bCs/>
          <w:i/>
          <w:iCs/>
        </w:rPr>
        <w:t xml:space="preserve">solely</w:t>
      </w:r>
      <w:r>
        <w:t xml:space="preserve"> in re-clustering policy (HRP_static, HRP_periodic_k). Universe, covariance, spectrum, allocator, execution held identical. This tier, and only this tier, can block Phase 1. Same principle already applied to Environment C in v1.</w:t>
      </w:r>
    </w:p>
    <w:p>
      <w:pPr>
        <w:pStyle w:val="Heading2"/>
        <w:spacing w:after="80" w:before="190"/>
      </w:pPr>
      <w:r>
        <w:rPr>
          <w:color w:val="222222"/>
        </w:rPr>
        <w:t xml:space="preserve">2.2  Diagnostic panel — cross-allocator (non-gating)</w:t>
      </w:r>
    </w:p>
    <w:p>
      <w:pPr>
        <w:spacing w:after="110" w:line="274"/>
      </w:pPr>
      <w:r>
        <w:t xml:space="preserve">RAC-HRP and HRP_static vs different allocator families (EW, ERC). Reported and characterized; </w:t>
      </w:r>
      <w:r>
        <w:rPr>
          <w:b/>
          <w:bCs/>
        </w:rPr>
        <w:t xml:space="preserve">never gates</w:t>
      </w:r>
      <w:r>
        <w:t xml:space="preserve">. A material difference is recorded as a finding, always paired with the HRP_static-vs-family control that identifies whether the trigger is implicated.</w:t>
      </w:r>
    </w:p>
    <w:p>
      <w:pPr>
        <w:pStyle w:val="Heading1"/>
        <w:spacing w:after="100" w:before="250"/>
      </w:pPr>
      <w:r>
        <w:rPr>
          <w:color w:val="1F3A5F"/>
        </w:rPr>
        <w:t xml:space="preserve">3.  Environments and comparator assignment</w:t>
      </w:r>
    </w:p>
    <w:tbl>
      <w:tblPr>
        <w:tblW w:type="dxa" w:w="9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2450"/>
        <w:gridCol w:w="3450"/>
        <w:gridCol w:w="3500"/>
      </w:tblGrid>
      <w:tr>
        <w:trPr>
          <w:tblHeader/>
        </w:trPr>
        <w:tc>
          <w:tcPr>
            <w:tcW w:type="dxa" w:w="245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45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gate (same-policy)</w:t>
            </w:r>
          </w:p>
        </w:tc>
        <w:tc>
          <w:tcPr>
            <w:tcW w:type="dxa" w:w="35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Diagnostic (cross-allocator)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 i.i.d. Gaussian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vs static, periodic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vs EW, ERC</w:t>
            </w:r>
          </w:p>
        </w:tc>
      </w:tr>
      <w:tr>
        <w:tc>
          <w:tcPr>
            <w:tcW w:type="dxa" w:w="245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  cross-sectional shuffle</w:t>
            </w:r>
          </w:p>
        </w:tc>
        <w:tc>
          <w:tcPr>
            <w:tcW w:type="dxa" w:w="345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vs static, periodic</w:t>
            </w:r>
          </w:p>
        </w:tc>
        <w:tc>
          <w:tcPr>
            <w:tcW w:type="dxa" w:w="350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vs EW, ERC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  trigger-timing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vs static, periodic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(returns real; N/A)</w:t>
            </w:r>
          </w:p>
        </w:tc>
      </w:tr>
      <w:tr>
        <w:tc>
          <w:tcPr>
            <w:tcW w:type="dxa" w:w="245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  regime-switch vol</w:t>
            </w:r>
          </w:p>
        </w:tc>
        <w:tc>
          <w:tcPr>
            <w:tcW w:type="dxa" w:w="345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vs static, periodic</w:t>
            </w:r>
          </w:p>
        </w:tc>
        <w:tc>
          <w:tcPr>
            <w:tcW w:type="dxa" w:w="350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vs EW, ERC</w:t>
            </w:r>
          </w:p>
        </w:tc>
      </w:tr>
    </w:tbl>
    <w:p>
      <w:pPr>
        <w:pStyle w:val="Heading1"/>
        <w:spacing w:after="100" w:before="250"/>
      </w:pPr>
      <w:r>
        <w:rPr>
          <w:color w:val="1F3A5F"/>
        </w:rPr>
        <w:t xml:space="preserve">4.  Primary-gate hypotheses and decision rule</w:t>
      </w:r>
    </w:p>
    <w:p>
      <w:pPr>
        <w:spacing w:after="110" w:line="274"/>
      </w:pPr>
      <w:r>
        <w:t xml:space="preserve">For environment </w:t>
      </w:r>
      <w:r>
        <w:rPr>
          <w:i/>
          <w:iCs/>
        </w:rPr>
        <w:t xml:space="preserve">e</w:t>
      </w:r>
      <w:r>
        <w:t xml:space="preserve"> and same-policy comparator </w:t>
      </w:r>
      <w:r>
        <w:rPr>
          <w:i/>
          <w:iCs/>
        </w:rPr>
        <w:t xml:space="preserve">c</w:t>
      </w:r>
      <w:r>
        <w:t xml:space="preserve">, the replication-level paired difference is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d[e,c,r] = S_RAC[e,r] − S_c[e,r]</w:t>
      </w:r>
      <w:r>
        <w:t xml:space="preserve">, with population mean </w:t>
      </w:r>
      <w:r>
        <w:rPr>
          <w:i/>
          <w:iCs/>
        </w:rPr>
        <w:t xml:space="preserve">μ[e,c]</w:t>
      </w:r>
      <w:r>
        <w:t xml:space="preserve">. The materiality margin is fixed at </w:t>
      </w:r>
      <w:r>
        <w:rPr>
          <w:b/>
          <w:bCs/>
        </w:rPr>
        <w:t xml:space="preserve">δ = +0.10</w:t>
      </w:r>
      <w:r>
        <w:t xml:space="preserve">.</w:t>
      </w:r>
    </w:p>
    <w:p>
      <w:pPr>
        <w:spacing w:after="110" w:line="274"/>
      </w:pPr>
      <w:r>
        <w:t xml:space="preserve">The gate detects a manufactured </w:t>
      </w:r>
      <w:r>
        <w:rPr>
          <w:i/>
          <w:iCs/>
        </w:rPr>
        <w:t xml:space="preserve">positive</w:t>
      </w:r>
      <w:r>
        <w:t xml:space="preserve"> advantage, so the test is one-sided; material </w:t>
      </w:r>
      <w:r>
        <w:rPr>
          <w:i/>
          <w:iCs/>
        </w:rPr>
        <w:t xml:space="preserve">under</w:t>
      </w:r>
      <w:r>
        <w:t xml:space="preserve">performance by RAC-HRP is not evidence of a manufactured edge. Per primary cell, using the paired </w:t>
      </w:r>
      <w:r>
        <w:rPr>
          <w:i/>
          <w:iCs/>
        </w:rPr>
        <w:t xml:space="preserve">t</w:t>
      </w:r>
      <w:r>
        <w:t xml:space="preserve">-based interval across independent replications:</w:t>
      </w:r>
    </w:p>
    <w:p>
      <w:pPr>
        <w:pStyle w:val="ListParagraph"/>
        <w:numPr>
          <w:ilvl w:val="0"/>
          <w:numId w:val="1"/>
        </w:numPr>
        <w:spacing w:after="64" w:line="270"/>
      </w:pPr>
      <w:r>
        <w:rPr>
          <w:b/>
          <w:bCs/>
          <w:color w:val="1B7A3A"/>
        </w:rPr>
        <w:t xml:space="preserve">PASS</w:t>
      </w:r>
      <w:r>
        <w:t xml:space="preserve"> — the upper one-sided 95% confidence bound for μ[e,c] is ≤ +0.10;</w:t>
      </w:r>
    </w:p>
    <w:p>
      <w:pPr>
        <w:pStyle w:val="ListParagraph"/>
        <w:numPr>
          <w:ilvl w:val="0"/>
          <w:numId w:val="1"/>
        </w:numPr>
        <w:spacing w:after="64" w:line="270"/>
      </w:pPr>
      <w:r>
        <w:rPr>
          <w:b/>
          <w:bCs/>
          <w:color w:val="8A1C1C"/>
        </w:rPr>
        <w:t xml:space="preserve">FAIL</w:t>
      </w:r>
      <w:r>
        <w:t xml:space="preserve"> — the lower one-sided 95% confidence bound for μ[e,c] is &gt; +0.10;</w:t>
      </w:r>
    </w:p>
    <w:p>
      <w:pPr>
        <w:pStyle w:val="ListParagraph"/>
        <w:numPr>
          <w:ilvl w:val="0"/>
          <w:numId w:val="1"/>
        </w:numPr>
        <w:spacing w:after="64" w:line="270"/>
      </w:pPr>
      <w:r>
        <w:rPr>
          <w:b/>
          <w:bCs/>
        </w:rPr>
        <w:t xml:space="preserve">INCONCLUSIVE</w:t>
      </w:r>
      <w:r>
        <w:t xml:space="preserve"> — the interval crosses +0.10.</w:t>
      </w:r>
    </w:p>
    <w:p>
      <w:pPr>
        <w:spacing w:after="110" w:line="274"/>
      </w:pPr>
      <w:r>
        <w:t xml:space="preserve">A fixed-seed bootstrap interval is reported as a robustness diagnostic but does not replace the primary </w:t>
      </w:r>
      <w:r>
        <w:rPr>
          <w:i/>
          <w:iCs/>
        </w:rPr>
        <w:t xml:space="preserve">t</w:t>
      </w:r>
      <w:r>
        <w:t xml:space="preserve">-based rule.</w:t>
      </w:r>
    </w:p>
    <w:p>
      <w:pPr>
        <w:spacing w:after="110" w:line="274"/>
      </w:pPr>
      <w:r>
        <w:rPr>
          <w:b/>
          <w:bCs/>
        </w:rPr>
        <w:t xml:space="preserve">Overall v2 verdict: </w:t>
      </w:r>
      <w:r>
        <w:t xml:space="preserve">PASS only if every primary cell passes; FAIL if at least one primary cell fails; INCONCLUSIVE if none fail but at least one is inconclusive.</w:t>
      </w:r>
    </w:p>
    <w:p>
      <w:pPr>
        <w:pStyle w:val="Heading1"/>
        <w:spacing w:after="100" w:before="250"/>
      </w:pPr>
      <w:r>
        <w:rPr>
          <w:color w:val="1F3A5F"/>
        </w:rPr>
        <w:t xml:space="preserve">5.  Replication-level persistence (mandatory)</w:t>
      </w:r>
    </w:p>
    <w:p>
      <w:pPr>
        <w:spacing w:after="110" w:line="274"/>
      </w:pPr>
      <w:r>
        <w:t xml:space="preserve">v1 discarded per-replication Sharpes, which is why Condition 2 required a recovery replay. v2 </w:t>
      </w:r>
      <w:r>
        <w:rPr>
          <w:b/>
          <w:bCs/>
        </w:rPr>
        <w:t xml:space="preserve">must persist, for every environment and every strategy, the full replication-level Sharpe matrix</w:t>
      </w:r>
      <w:r>
        <w:t xml:space="preserve"> (one row per replication, one column per strategy, plus trigger-firing counts). All reported statistics must be reproducible from that matrix without re-execution.</w:t>
      </w:r>
    </w:p>
    <w:p>
      <w:pPr>
        <w:pStyle w:val="Heading1"/>
        <w:spacing w:after="100" w:before="250"/>
      </w:pPr>
      <w:r>
        <w:rPr>
          <w:color w:val="1F3A5F"/>
        </w:rPr>
        <w:t xml:space="preserve">6.  Randomness and independence from v1</w:t>
      </w:r>
    </w:p>
    <w:p>
      <w:pPr>
        <w:spacing w:after="110" w:line="274"/>
      </w:pPr>
      <w:r>
        <w:t xml:space="preserve">Null Gate v1 and its recovery replay retain their original seed scheme and outputs as </w:t>
      </w:r>
      <w:r>
        <w:rPr>
          <w:b/>
          <w:bCs/>
        </w:rPr>
        <w:t xml:space="preserve">immutable historical records</w:t>
      </w:r>
      <w:r>
        <w:t xml:space="preserve">.</w:t>
      </w:r>
    </w:p>
    <w:p>
      <w:pPr>
        <w:spacing w:after="110" w:line="274"/>
      </w:pPr>
      <w:r>
        <w:t xml:space="preserve">Null Gate v2 uses a </w:t>
      </w:r>
      <w:r>
        <w:rPr>
          <w:b/>
          <w:bCs/>
        </w:rPr>
        <w:t xml:space="preserve">new base seed, not previously executed or inspected</w:t>
      </w:r>
      <w:r>
        <w:t xml:space="preserve">, drawn from OS entropy (independent of any estimate) and frozen here before execution: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V2_BASE_SEED = 522618064</w:t>
      </w:r>
    </w:p>
    <w:p>
      <w:pPr>
        <w:spacing w:after="110" w:line="274"/>
      </w:pPr>
      <w:r>
        <w:t xml:space="preserve">Within each environment and replication, every strategy receives the same simulated return path and common random inputs, so contrasts are paired and Monte Carlo variance is minimized. Per-replication seeding: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default_rng(V2_BASE_SEED + 1000*env_index + r)</w:t>
      </w:r>
      <w:r>
        <w:t xml:space="preserve">, env_index ∈ {A:0, B:1, C:2, D:3}.</w:t>
      </w:r>
    </w:p>
    <w:p>
      <w:pPr>
        <w:spacing w:after="110" w:line="274"/>
      </w:pPr>
      <w:r>
        <w:t xml:space="preserve">The Condition-2 replay reproduced the relevant v1 contrasts to the four reported decimal places (within the predefined tolerance). </w:t>
      </w:r>
      <w:r>
        <w:rPr>
          <w:b/>
          <w:bCs/>
        </w:rPr>
        <w:t xml:space="preserve">No claim of bit-for-bit identity is made</w:t>
      </w:r>
      <w:r>
        <w:t xml:space="preserve"> unless raw-file hashes are identical.</w:t>
      </w:r>
    </w:p>
    <w:p>
      <w:pPr>
        <w:pStyle w:val="Heading1"/>
        <w:spacing w:after="100" w:before="250"/>
      </w:pPr>
      <w:r>
        <w:rPr>
          <w:color w:val="1F3A5F"/>
        </w:rPr>
        <w:t xml:space="preserve">7.  Replication count and power controls (all frozen prospectively)</w:t>
      </w:r>
    </w:p>
    <w:p>
      <w:pPr>
        <w:spacing w:after="110" w:line="274"/>
      </w:pPr>
      <w:r>
        <w:t xml:space="preserve">Frozen replication counts:</w:t>
      </w:r>
    </w:p>
    <w:p>
      <w:pPr>
        <w:pStyle w:val="ListParagraph"/>
        <w:numPr>
          <w:ilvl w:val="0"/>
          <w:numId w:val="1"/>
        </w:numPr>
        <w:spacing w:after="64" w:line="270"/>
      </w:pPr>
      <w:r>
        <w:rPr>
          <w:b/>
          <w:bCs/>
        </w:rPr>
        <w:t xml:space="preserve">Environment D: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200</w:t>
      </w:r>
      <w:r>
        <w:t xml:space="preserve">  (fixed minimum per ruling);</w:t>
      </w:r>
    </w:p>
    <w:p>
      <w:pPr>
        <w:pStyle w:val="ListParagraph"/>
        <w:numPr>
          <w:ilvl w:val="0"/>
          <w:numId w:val="1"/>
        </w:numPr>
        <w:spacing w:after="64" w:line="270"/>
      </w:pPr>
      <w:r>
        <w:rPr>
          <w:b/>
          <w:bCs/>
        </w:rPr>
        <w:t xml:space="preserve">Environments A, B, C: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150</w:t>
      </w:r>
      <w:r>
        <w:t xml:space="preserve">  each (≥100 floor; 150 chosen for margin above the minimum in the thesis-critical environments).</w:t>
      </w:r>
    </w:p>
    <w:p>
      <w:pPr>
        <w:spacing w:after="110" w:line="274"/>
      </w:pPr>
      <w:r>
        <w:t xml:space="preserve">Two controls, both required:</w:t>
      </w:r>
    </w:p>
    <w:p>
      <w:pPr>
        <w:pStyle w:val="ListParagraph"/>
        <w:numPr>
          <w:ilvl w:val="0"/>
          <w:numId w:val="1"/>
        </w:numPr>
        <w:spacing w:after="64" w:line="270"/>
      </w:pPr>
      <w:r>
        <w:rPr>
          <w:b/>
          <w:bCs/>
        </w:rPr>
        <w:t xml:space="preserve">null control</w:t>
      </w:r>
      <w:r>
        <w:t xml:space="preserve">, injected effect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0.00</w:t>
      </w:r>
      <w:r>
        <w:t xml:space="preserve"> — must satisfy PASS;</w:t>
      </w:r>
    </w:p>
    <w:p>
      <w:pPr>
        <w:pStyle w:val="ListParagraph"/>
        <w:numPr>
          <w:ilvl w:val="0"/>
          <w:numId w:val="1"/>
        </w:numPr>
        <w:spacing w:after="64" w:line="270"/>
      </w:pPr>
      <w:r>
        <w:rPr>
          <w:b/>
          <w:bCs/>
        </w:rPr>
        <w:t xml:space="preserve">positive control</w:t>
      </w:r>
      <w:r>
        <w:t xml:space="preserve">, injected effect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+0.20</w:t>
      </w:r>
      <w:r>
        <w:t xml:space="preserve"> — must satisfy FAIL.</w:t>
      </w:r>
    </w:p>
    <w:p>
      <w:pPr>
        <w:spacing w:after="110" w:line="274"/>
      </w:pPr>
      <w:r>
        <w:t xml:space="preserve">An injected effect of +0.10 (the decision boundary) may be reported as a boundary diagnostic but is not required to resolve.</w:t>
      </w:r>
    </w:p>
    <w:p>
      <w:pPr>
        <w:spacing w:after="110" w:line="274"/>
      </w:pPr>
      <w:r>
        <w:rPr>
          <w:b/>
          <w:bCs/>
        </w:rPr>
        <w:t xml:space="preserve">Sequential addition of replications: </w:t>
      </w:r>
      <w:r>
        <w:t xml:space="preserve">none. Counts are fixed at the values above. Primary-gate estimates shall not be inspected to decide whether more replications are run. An INCONCLUSIVE cell is reported as such; any follow-up is a separate, prospectively pre-registered run.</w:t>
      </w:r>
    </w:p>
    <w:p>
      <w:pPr>
        <w:pStyle w:val="Heading1"/>
        <w:spacing w:after="100" w:before="250"/>
      </w:pPr>
      <w:r>
        <w:rPr>
          <w:color w:val="1F3A5F"/>
        </w:rPr>
        <w:t xml:space="preserve">8.  Freeze checklist (Condition 4)</w:t>
      </w:r>
    </w:p>
    <w:p>
      <w:pPr>
        <w:spacing w:after="110" w:line="274"/>
      </w:pPr>
      <w:r>
        <w:t xml:space="preserve">Committed and hashed before execution, unaltered thereafter: this protocol (signed); code (git commit hash recorded); the base seed and scheme (§6); the decision rule (§4); the comparator assignment (§3); the frozen replication counts (§7). The 2023–2024 test region remains untouched (Condition 5); v2 runs on the development region only.</w:t>
      </w:r>
    </w:p>
    <w:p>
      <w:pPr>
        <w:pStyle w:val="Heading1"/>
        <w:spacing w:after="100" w:before="250"/>
      </w:pPr>
      <w:r>
        <w:rPr>
          <w:color w:val="1F3A5F"/>
        </w:rPr>
        <w:t xml:space="preserve">9.  Scope of claims</w:t>
      </w:r>
    </w:p>
    <w:p>
      <w:pPr>
        <w:spacing w:after="110" w:line="274"/>
      </w:pPr>
      <w:r>
        <w:t xml:space="preserve">A clean primary-gate pass supports only that the trigger does not manufacture a material positive Sharpe difference versus same-policy baselines. It does not establish the </w:t>
      </w:r>
      <w:r>
        <w:rPr>
          <w:i/>
          <w:iCs/>
        </w:rPr>
        <w:t xml:space="preserve">mechanism</w:t>
      </w:r>
      <w:r>
        <w:t xml:space="preserve"> of any cross-allocator diagnostic difference (e.g. faster re-weighting toward newly-calm assets), which requires weight-path or regime-transition analysis out of scope here. Reporting language must respect this boundary.</w:t>
      </w:r>
    </w:p>
    <w:p>
      <w:pPr>
        <w:pStyle w:val="Heading1"/>
        <w:spacing w:after="100" w:before="250"/>
      </w:pPr>
      <w:r>
        <w:rPr>
          <w:color w:val="1F3A5F"/>
        </w:rPr>
        <w:t xml:space="preserve">10.  Sign-off</w:t>
      </w:r>
    </w:p>
    <w:p>
      <w:pPr>
        <w:spacing w:after="110" w:line="274"/>
      </w:pPr>
      <w:r>
        <w:t xml:space="preserve">Approved to freeze and execute as specified:      YES   /   YES WITH CHANGES (below)   /   NO</w:t>
      </w:r>
    </w:p>
    <w:p>
      <w:pPr>
        <w:spacing w:after="200"/>
      </w:pPr>
      <w:r>
        <w:t xml:space="preserve"/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00"/>
      </w:tblGrid>
      <w:tr>
        <w:tc>
          <w:tcPr>
            <w:tcW w:type="dxa" w:w="4700"/>
            <w:tcMar>
              <w:right w:type="dxa" w:w="200"/>
            </w:tcMar>
          </w:tcPr>
          <w:p>
            <w:pPr>
              <w:pBdr>
                <w:bottom w:val="single" w:color="888888" w:sz="4"/>
              </w:pBdr>
              <w:spacing w:before="240"/>
            </w:pPr>
            <w:r>
              <w:t xml:space="preserve"/>
            </w:r>
          </w:p>
          <w:p>
            <w:r>
              <w:rPr>
                <w:color w:val="555555"/>
                <w:sz w:val="18"/>
                <w:szCs w:val="18"/>
              </w:rPr>
              <w:t xml:space="preserve">Advisor signature / date</w:t>
            </w:r>
          </w:p>
        </w:tc>
        <w:tc>
          <w:tcPr>
            <w:tcW w:type="dxa" w:w="4700"/>
          </w:tcPr>
          <w:p>
            <w:pPr>
              <w:pBdr>
                <w:bottom w:val="single" w:color="888888" w:sz="4"/>
              </w:pBdr>
              <w:spacing w:before="240"/>
            </w:pPr>
            <w:r>
              <w:t xml:space="preserve"/>
            </w:r>
          </w:p>
          <w:p>
            <w:r>
              <w:rPr>
                <w:color w:val="555555"/>
                <w:sz w:val="18"/>
                <w:szCs w:val="18"/>
              </w:rPr>
              <w:t xml:space="preserve">Required changes, if any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50"/>
    </w:pPr>
    <w:rPr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90"/>
    </w:pPr>
    <w:rPr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Null Gate v2 Protocol (rev.2) — RAC-HRP</dc:title>
  <dc:creator>Om Patel</dc:creator>
  <cp:lastModifiedBy>Un-named</cp:lastModifiedBy>
  <cp:revision>1</cp:revision>
  <dcterms:created xsi:type="dcterms:W3CDTF">2026-07-16T02:26:35.694Z</dcterms:created>
  <dcterms:modified xsi:type="dcterms:W3CDTF">2026-07-16T02:26:35.712Z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