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7777777" w:rsidR="006A4F3E" w:rsidRDefault="006A4F3E" w:rsidP="001971C1">
      <w:pPr>
        <w:spacing w:line="480" w:lineRule="auto"/>
        <w:rPr>
          <w:rFonts w:ascii="Times New Roman" w:hAnsi="Times New Roman" w:cs="Times New Roman"/>
          <w:b/>
          <w:bCs/>
          <w:color w:val="000000" w:themeColor="text1"/>
          <w:lang w:val="en-GB"/>
        </w:rPr>
      </w:pPr>
    </w:p>
    <w:p w14:paraId="49C18F6C"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 concern over antimicrobial resistance has prompted increased scrutiny of antibiotic prescription 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prescribing oral penicillins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r w:rsidRPr="001971C1">
        <w:rPr>
          <w:rFonts w:ascii="Times New Roman" w:hAnsi="Times New Roman" w:cs="Times New Roman"/>
          <w:color w:val="000000" w:themeColor="text1"/>
          <w:lang w:val="en-GB"/>
        </w:rPr>
        <w:t>ation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r w:rsidRPr="001971C1">
        <w:rPr>
          <w:rFonts w:ascii="Times New Roman" w:hAnsi="Times New Roman" w:cs="Times New Roman"/>
          <w:color w:val="000000" w:themeColor="text1"/>
          <w:lang w:val="en-GB"/>
        </w:rPr>
        <w:t>ibing</w:t>
      </w:r>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r w:rsidRPr="00563E01">
        <w:rPr>
          <w:rFonts w:ascii="Times New Roman" w:hAnsi="Times New Roman" w:cs="Times New Roman"/>
          <w:b/>
          <w:bCs/>
          <w:lang w:val="en-GB"/>
        </w:rPr>
        <w:t>ethods</w:t>
      </w:r>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rsidR="00000000">
        <w:fldChar w:fldCharType="begin"/>
      </w:r>
      <w:ins w:id="0" w:author="Sinead Brophy" w:date="2024-04-12T15:46:00Z">
        <w:r w:rsidR="00CA0652">
          <w:instrText>HYPERLINK "C:\\Users\\S.Brophy\\AppData\\Local\\Temp\\587bc44a-4c6e-489a-bcde-b6a0af1ac12c_final project (2).zip.12c\\final project\\Appendix\\appendix 3.docx"</w:instrText>
        </w:r>
      </w:ins>
      <w:del w:id="1" w:author="Sinead Brophy" w:date="2024-04-12T15:46:00Z">
        <w:r w:rsidR="00000000" w:rsidDel="00CA0652">
          <w:delInstrText>HYPERLINK "Appendix/appendix%203.docx"</w:delInstrText>
        </w:r>
      </w:del>
      <w:ins w:id="2" w:author="Sinead Brophy" w:date="2024-04-12T15:46:00Z"/>
      <w:r w:rsidR="00000000">
        <w:fldChar w:fldCharType="separate"/>
      </w:r>
      <w:r w:rsidR="00955783" w:rsidRPr="00955783">
        <w:rPr>
          <w:rStyle w:val="Hyperlink"/>
          <w:rFonts w:ascii="Times New Roman" w:hAnsi="Times New Roman" w:cs="Times New Roman"/>
          <w:lang w:val="en-GB"/>
        </w:rPr>
        <w:t>Appendix 3</w:t>
      </w:r>
      <w:r w:rsidR="00000000">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(penicillins and cephalosporins), macrolides, dihydropyrimidines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lincosamides. A flow diagram of the cohort selection can be found in </w:t>
      </w:r>
      <w:r w:rsidR="00000000">
        <w:fldChar w:fldCharType="begin"/>
      </w:r>
      <w:ins w:id="3" w:author="Sinead Brophy" w:date="2024-04-12T15:46:00Z">
        <w:r w:rsidR="00CA0652">
          <w:instrText>HYPERLINK "C:\\Users\\S.Brophy\\AppData\\Local\\Temp\\587bc44a-4c6e-489a-bcde-b6a0af1ac12c_final project (2).zip.12c\\final project\\figures\\figure 1.docx"</w:instrText>
        </w:r>
      </w:ins>
      <w:del w:id="4" w:author="Sinead Brophy" w:date="2024-04-12T15:46:00Z">
        <w:r w:rsidR="00000000" w:rsidDel="00CA0652">
          <w:delInstrText>HYPERLINK "figures/figure%201.docx"</w:delInstrText>
        </w:r>
      </w:del>
      <w:ins w:id="5" w:author="Sinead Brophy" w:date="2024-04-12T15:46:00Z"/>
      <w:r w:rsidR="00000000">
        <w:fldChar w:fldCharType="separate"/>
      </w:r>
      <w:r w:rsidR="00955783" w:rsidRPr="00955783">
        <w:rPr>
          <w:rStyle w:val="Hyperlink"/>
          <w:rFonts w:ascii="Times New Roman" w:hAnsi="Times New Roman" w:cs="Times New Roman"/>
          <w:lang w:val="en-GB"/>
        </w:rPr>
        <w:t>Figure 1</w:t>
      </w:r>
      <w:r w:rsidR="00000000">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rsidR="00000000">
        <w:fldChar w:fldCharType="begin"/>
      </w:r>
      <w:ins w:id="6" w:author="Sinead Brophy" w:date="2024-04-12T15:46:00Z">
        <w:r w:rsidR="00CA0652">
          <w:instrText>HYPERLINK "C:\\Users\\S.Brophy\\AppData\\Local\\Temp\\587bc44a-4c6e-489a-bcde-b6a0af1ac12c_final project (2).zip.12c\\final project\\Appendix\\appendix 4.docx"</w:instrText>
        </w:r>
      </w:ins>
      <w:del w:id="7" w:author="Sinead Brophy" w:date="2024-04-12T15:46:00Z">
        <w:r w:rsidR="00000000" w:rsidDel="00CA0652">
          <w:delInstrText>HYPERLINK "Appendix/appendix%204.docx"</w:delInstrText>
        </w:r>
      </w:del>
      <w:ins w:id="8" w:author="Sinead Brophy" w:date="2024-04-12T15:46:00Z"/>
      <w:r w:rsidR="00000000">
        <w:fldChar w:fldCharType="separate"/>
      </w:r>
      <w:r w:rsidR="00BE0B95" w:rsidRPr="00BE0B95">
        <w:rPr>
          <w:rStyle w:val="Hyperlink"/>
          <w:rFonts w:ascii="Times New Roman" w:hAnsi="Times New Roman" w:cs="Times New Roman"/>
          <w:lang w:val="en-GB"/>
        </w:rPr>
        <w:t>Appendix 4</w:t>
      </w:r>
      <w:r w:rsidR="00000000">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rsidR="00000000">
        <w:fldChar w:fldCharType="begin"/>
      </w:r>
      <w:ins w:id="9" w:author="Sinead Brophy" w:date="2024-04-12T15:46:00Z">
        <w:r w:rsidR="00CA0652">
          <w:instrText>HYPERLINK "C:\\Users\\S.Brophy\\AppData\\Local\\Temp\\587bc44a-4c6e-489a-bcde-b6a0af1ac12c_final project (2).zip.12c\\final project\\Appendix\\appendix 1.docx"</w:instrText>
        </w:r>
      </w:ins>
      <w:del w:id="10" w:author="Sinead Brophy" w:date="2024-04-12T15:46:00Z">
        <w:r w:rsidR="00000000" w:rsidDel="00CA0652">
          <w:delInstrText>HYPERLINK "Appendix/appendix%201.docx"</w:delInstrText>
        </w:r>
      </w:del>
      <w:ins w:id="11" w:author="Sinead Brophy" w:date="2024-04-12T15:46:00Z"/>
      <w:r w:rsidR="00000000">
        <w:fldChar w:fldCharType="separate"/>
      </w:r>
      <w:r w:rsidR="00BE0B95" w:rsidRPr="00BE0B95">
        <w:rPr>
          <w:rStyle w:val="Hyperlink"/>
          <w:lang w:val="en-GB"/>
        </w:rPr>
        <w:t>Appendix 1</w:t>
      </w:r>
      <w:r w:rsidR="00000000">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rsidR="00000000">
        <w:fldChar w:fldCharType="begin"/>
      </w:r>
      <w:ins w:id="12" w:author="Sinead Brophy" w:date="2024-04-12T15:46:00Z">
        <w:r w:rsidR="00CA0652">
          <w:instrText>HYPERLINK "C:\\Users\\S.Brophy\\AppData\\Local\\Temp\\587bc44a-4c6e-489a-bcde-b6a0af1ac12c_final project (2).zip.12c\\final project\\Appendix\\appendix 5.docx"</w:instrText>
        </w:r>
      </w:ins>
      <w:del w:id="13" w:author="Sinead Brophy" w:date="2024-04-12T15:46:00Z">
        <w:r w:rsidR="00000000" w:rsidDel="00CA0652">
          <w:delInstrText>HYPERLINK "Appendix/appendix%205.docx"</w:delInstrText>
        </w:r>
      </w:del>
      <w:ins w:id="14" w:author="Sinead Brophy" w:date="2024-04-12T15:46:00Z"/>
      <w:r w:rsidR="00000000">
        <w:fldChar w:fldCharType="separate"/>
      </w:r>
      <w:r w:rsidR="00AE203F" w:rsidRPr="00AE203F">
        <w:rPr>
          <w:rStyle w:val="Hyperlink"/>
          <w:rFonts w:ascii="Times New Roman" w:hAnsi="Times New Roman" w:cs="Times New Roman"/>
          <w:lang w:val="en-GB"/>
        </w:rPr>
        <w:t>Appendix 5</w:t>
      </w:r>
      <w:r w:rsidR="00000000">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rsidR="00000000">
        <w:fldChar w:fldCharType="begin"/>
      </w:r>
      <w:ins w:id="15" w:author="Sinead Brophy" w:date="2024-04-12T15:46:00Z">
        <w:r w:rsidR="00CA0652">
          <w:instrText>HYPERLINK "C:\\Users\\S.Brophy\\AppData\\Local\\Temp\\587bc44a-4c6e-489a-bcde-b6a0af1ac12c_final project (2).zip.12c\\final project\\Appendix\\appendix 2.docx"</w:instrText>
        </w:r>
      </w:ins>
      <w:del w:id="16" w:author="Sinead Brophy" w:date="2024-04-12T15:46:00Z">
        <w:r w:rsidR="00000000" w:rsidDel="00CA0652">
          <w:delInstrText>HYPERLINK "Appendix/appendix%202.docx"</w:delInstrText>
        </w:r>
      </w:del>
      <w:ins w:id="17" w:author="Sinead Brophy" w:date="2024-04-12T15:46:00Z"/>
      <w:r w:rsidR="00000000">
        <w:fldChar w:fldCharType="separate"/>
      </w:r>
      <w:r w:rsidR="00BE0B95" w:rsidRPr="00BE0B95">
        <w:rPr>
          <w:rStyle w:val="Hyperlink"/>
          <w:lang w:val="en-GB"/>
        </w:rPr>
        <w:t>Appendix 2</w:t>
      </w:r>
      <w:r w:rsidR="00000000">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tidyverse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lubridate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8" w:author="Sinead Brophy" w:date="2024-04-12T15:37:00Z">
        <w:r w:rsidRPr="001971C1" w:rsidDel="00CA0652">
          <w:rPr>
            <w:rFonts w:ascii="Times New Roman" w:hAnsi="Times New Roman" w:cs="Times New Roman"/>
            <w:color w:val="000000" w:themeColor="text1"/>
            <w:lang w:val="en-GB"/>
          </w:rPr>
          <w:delText>w</w:delText>
        </w:r>
      </w:del>
      <w:ins w:id="19"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lastRenderedPageBreak/>
        <w:t>using 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(aOR)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20" w:author="Sinead Brophy" w:date="2024-04-12T15:38:00Z">
        <w:r w:rsidR="00CA0652">
          <w:rPr>
            <w:rFonts w:ascii="Times New Roman" w:hAnsi="Times New Roman" w:cs="Times New Roman"/>
            <w:color w:val="000000" w:themeColor="text1"/>
            <w:lang w:val="en-US"/>
          </w:rPr>
          <w:t>t</w:t>
        </w:r>
      </w:ins>
      <w:del w:id="21"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2"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rsidR="00000000">
        <w:fldChar w:fldCharType="begin"/>
      </w:r>
      <w:ins w:id="23" w:author="Sinead Brophy" w:date="2024-04-12T15:46:00Z">
        <w:r w:rsidR="00CA0652">
          <w:instrText>HYPERLINK "C:\\Users\\S.Brophy\\AppData\\Local\\Temp\\587bc44a-4c6e-489a-bcde-b6a0af1ac12c_final project (2).zip.12c\\final project\\tables\\table 1.docx"</w:instrText>
        </w:r>
      </w:ins>
      <w:del w:id="24" w:author="Sinead Brophy" w:date="2024-04-12T15:46:00Z">
        <w:r w:rsidR="00000000" w:rsidDel="00CA0652">
          <w:delInstrText>HYPERLINK "tables/table%201.docx"</w:delInstrText>
        </w:r>
      </w:del>
      <w:ins w:id="25" w:author="Sinead Brophy" w:date="2024-04-12T15:46:00Z"/>
      <w:r w:rsidR="00000000">
        <w:fldChar w:fldCharType="separate"/>
      </w:r>
      <w:r w:rsidR="00C225A6" w:rsidRPr="00C225A6">
        <w:rPr>
          <w:rStyle w:val="Hyperlink"/>
          <w:rFonts w:ascii="Times New Roman" w:hAnsi="Times New Roman" w:cs="Times New Roman"/>
          <w:lang w:val="en-GB"/>
        </w:rPr>
        <w:t>Table 1</w:t>
      </w:r>
      <w:r w:rsidR="00000000">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(aOR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rsidR="00000000">
        <w:fldChar w:fldCharType="begin"/>
      </w:r>
      <w:ins w:id="26" w:author="Sinead Brophy" w:date="2024-04-12T15:46:00Z">
        <w:r w:rsidR="00CA0652">
          <w:instrText>HYPERLINK "C:\\Users\\S.Brophy\\AppData\\Local\\Temp\\587bc44a-4c6e-489a-bcde-b6a0af1ac12c_final project (2).zip.12c\\final project\\tables\\table 2.docx"</w:instrText>
        </w:r>
      </w:ins>
      <w:del w:id="27" w:author="Sinead Brophy" w:date="2024-04-12T15:46:00Z">
        <w:r w:rsidR="00000000" w:rsidDel="00CA0652">
          <w:delInstrText>HYPERLINK "tables/table%202.docx"</w:delInstrText>
        </w:r>
      </w:del>
      <w:ins w:id="28" w:author="Sinead Brophy" w:date="2024-04-12T15:46:00Z"/>
      <w:r w:rsidR="00000000">
        <w:fldChar w:fldCharType="separate"/>
      </w:r>
      <w:r w:rsidR="00C225A6" w:rsidRPr="00C225A6">
        <w:rPr>
          <w:rStyle w:val="Hyperlink"/>
          <w:rFonts w:ascii="Times New Roman" w:hAnsi="Times New Roman" w:cs="Times New Roman"/>
          <w:lang w:val="en-GB"/>
        </w:rPr>
        <w:t>Table 2</w:t>
      </w:r>
      <w:r w:rsidR="00000000">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rsidR="00000000">
        <w:fldChar w:fldCharType="begin"/>
      </w:r>
      <w:ins w:id="29" w:author="Sinead Brophy" w:date="2024-04-12T15:46:00Z">
        <w:r w:rsidR="00CA0652">
          <w:instrText>HYPERLINK "C:\\Users\\S.Brophy\\AppData\\Local\\Temp\\587bc44a-4c6e-489a-bcde-b6a0af1ac12c_final project (2).zip.12c\\final project\\figures\\Figure 2.docx"</w:instrText>
        </w:r>
      </w:ins>
      <w:del w:id="30" w:author="Sinead Brophy" w:date="2024-04-12T15:46:00Z">
        <w:r w:rsidR="00000000" w:rsidDel="00CA0652">
          <w:delInstrText>HYPERLINK "figures/Figure%202.docx"</w:delInstrText>
        </w:r>
      </w:del>
      <w:ins w:id="31" w:author="Sinead Brophy" w:date="2024-04-12T15:46:00Z"/>
      <w:r w:rsidR="00000000">
        <w:fldChar w:fldCharType="separate"/>
      </w:r>
      <w:r w:rsidR="00BE0B95" w:rsidRPr="00BE0B95">
        <w:rPr>
          <w:rStyle w:val="Hyperlink"/>
          <w:rFonts w:ascii="Times New Roman" w:hAnsi="Times New Roman" w:cs="Times New Roman"/>
          <w:lang w:val="en-GB"/>
        </w:rPr>
        <w:t>Figure 2</w:t>
      </w:r>
      <w:r w:rsidR="00000000">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00000000">
        <w:fldChar w:fldCharType="begin"/>
      </w:r>
      <w:ins w:id="32" w:author="Sinead Brophy" w:date="2024-04-12T15:46:00Z">
        <w:r w:rsidR="00CA0652">
          <w:instrText>HYPERLINK "C:\\Users\\S.Brophy\\AppData\\Local\\Temp\\587bc44a-4c6e-489a-bcde-b6a0af1ac12c_final project (2).zip.12c\\final project\\figures\\Figure 3.docx"</w:instrText>
        </w:r>
      </w:ins>
      <w:del w:id="33" w:author="Sinead Brophy" w:date="2024-04-12T15:46:00Z">
        <w:r w:rsidR="00000000" w:rsidDel="00CA0652">
          <w:delInstrText>HYPERLINK "figures/Figure%203.docx"</w:delInstrText>
        </w:r>
      </w:del>
      <w:ins w:id="34" w:author="Sinead Brophy" w:date="2024-04-12T15:46:00Z"/>
      <w:r w:rsidR="00000000">
        <w:fldChar w:fldCharType="separate"/>
      </w:r>
      <w:r w:rsidR="00BE0B95" w:rsidRPr="00BE0B95">
        <w:rPr>
          <w:rStyle w:val="Hyperlink"/>
          <w:rFonts w:ascii="Times New Roman" w:hAnsi="Times New Roman" w:cs="Times New Roman"/>
          <w:lang w:val="en-GB"/>
        </w:rPr>
        <w:t>Figure 3</w:t>
      </w:r>
      <w:r w:rsidR="00000000">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rsidR="00000000">
        <w:fldChar w:fldCharType="begin"/>
      </w:r>
      <w:ins w:id="35" w:author="Sinead Brophy" w:date="2024-04-12T15:46:00Z">
        <w:r w:rsidR="00CA0652">
          <w:instrText>HYPERLINK "C:\\Users\\S.Brophy\\AppData\\Local\\Temp\\587bc44a-4c6e-489a-bcde-b6a0af1ac12c_final project (2).zip.12c\\final project\\figures\\Figure 4.docx"</w:instrText>
        </w:r>
      </w:ins>
      <w:del w:id="36" w:author="Sinead Brophy" w:date="2024-04-12T15:46:00Z">
        <w:r w:rsidR="00000000" w:rsidDel="00CA0652">
          <w:delInstrText>HYPERLINK "figures/Figure%204.docx"</w:delInstrText>
        </w:r>
      </w:del>
      <w:ins w:id="37" w:author="Sinead Brophy" w:date="2024-04-12T15:46:00Z"/>
      <w:r w:rsidR="00000000">
        <w:fldChar w:fldCharType="separate"/>
      </w:r>
      <w:r w:rsidR="00BE0B95" w:rsidRPr="00BE0B95">
        <w:rPr>
          <w:rStyle w:val="Hyperlink"/>
          <w:rFonts w:ascii="Times New Roman" w:hAnsi="Times New Roman" w:cs="Times New Roman"/>
          <w:lang w:val="en-GB"/>
        </w:rPr>
        <w:t>Figure 4</w:t>
      </w:r>
      <w:r w:rsidR="00000000">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8" w:author="Sinead Brophy" w:date="2024-04-12T15:42:00Z">
        <w:r w:rsidR="00CA0652">
          <w:rPr>
            <w:rFonts w:ascii="Times New Roman" w:hAnsi="Times New Roman" w:cs="Times New Roman"/>
            <w:lang w:val="en-GB"/>
          </w:rPr>
          <w:t>A</w:t>
        </w:r>
      </w:ins>
      <w:del w:id="39"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r w:rsidRPr="001971C1">
        <w:rPr>
          <w:rFonts w:ascii="Times New Roman" w:hAnsi="Times New Roman" w:cs="Times New Roman"/>
          <w:lang w:val="en-GB"/>
        </w:rPr>
        <w:t>ody</w:t>
      </w:r>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971C1"/>
    <w:rsid w:val="001A5663"/>
    <w:rsid w:val="00256B3C"/>
    <w:rsid w:val="002818C4"/>
    <w:rsid w:val="00392EB3"/>
    <w:rsid w:val="003D1897"/>
    <w:rsid w:val="00434AA0"/>
    <w:rsid w:val="00495D13"/>
    <w:rsid w:val="0055076B"/>
    <w:rsid w:val="00563E01"/>
    <w:rsid w:val="005C109E"/>
    <w:rsid w:val="00633282"/>
    <w:rsid w:val="006A4F3E"/>
    <w:rsid w:val="006C50D6"/>
    <w:rsid w:val="006F71E7"/>
    <w:rsid w:val="00703962"/>
    <w:rsid w:val="0072611D"/>
    <w:rsid w:val="00753A7B"/>
    <w:rsid w:val="008B32FD"/>
    <w:rsid w:val="008E25D5"/>
    <w:rsid w:val="008F1DA2"/>
    <w:rsid w:val="00910F09"/>
    <w:rsid w:val="0095175C"/>
    <w:rsid w:val="00955783"/>
    <w:rsid w:val="0096445C"/>
    <w:rsid w:val="009A00E8"/>
    <w:rsid w:val="00A30103"/>
    <w:rsid w:val="00A4583B"/>
    <w:rsid w:val="00AE203F"/>
    <w:rsid w:val="00B7412A"/>
    <w:rsid w:val="00BE0B95"/>
    <w:rsid w:val="00C225A6"/>
    <w:rsid w:val="00C819E7"/>
    <w:rsid w:val="00CA0652"/>
    <w:rsid w:val="00CC313A"/>
    <w:rsid w:val="00D67391"/>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13935</Words>
  <Characters>70374</Characters>
  <Application>Microsoft Office Word</Application>
  <DocSecurity>0</DocSecurity>
  <Lines>1005</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Sinead Brophy</cp:lastModifiedBy>
  <cp:revision>2</cp:revision>
  <dcterms:created xsi:type="dcterms:W3CDTF">2024-04-12T14:46:00Z</dcterms:created>
  <dcterms:modified xsi:type="dcterms:W3CDTF">2024-04-12T14:46:00Z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