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E2D54"/>
          <w:sz w:val="40"/>
          <w:szCs w:val="40"/>
        </w:rPr>
        <w:t xml:space="preserve">Victron Monitor</w:t>
      </w:r>
    </w:p>
    <w:p>
      <w:pPr>
        <w:spacing w:after="40"/>
      </w:pPr>
      <w:r>
        <w:rPr>
          <w:b/>
          <w:bCs/>
          <w:color w:val="4BAE6A"/>
          <w:sz w:val="26"/>
          <w:szCs w:val="26"/>
        </w:rPr>
        <w:t xml:space="preserve">New Site Deployment Checklist</w:t>
      </w:r>
    </w:p>
    <w:p>
      <w:pPr>
        <w:spacing w:after="60"/>
      </w:pPr>
      <w:r>
        <w:rPr>
          <w:i/>
          <w:iCs/>
          <w:color w:val="666666"/>
          <w:sz w:val="18"/>
          <w:szCs w:val="18"/>
        </w:rPr>
        <w:t xml:space="preserve">Compatible with node-red/victron_monitor_v1p8.json and later (DB-driven site config, migrations 006–011) — revised 2026-07-27</w:t>
      </w:r>
    </w:p>
    <w:p>
      <w:pPr>
        <w:pBdr>
          <w:bottom w:val="single" w:color="4BAE6A" w:sz="8" w:space="8"/>
        </w:pBdr>
        <w:spacing w:after="200"/>
      </w:pPr>
      <w:r>
        <w:rPr>
          <w:color w:val="666666"/>
          <w:sz w:val="18"/>
          <w:szCs w:val="18"/>
        </w:rPr>
        <w:t xml:space="preserve">Pauly y Compañía  |  proyectos@paulyco.com</w:t>
      </w:r>
    </w:p>
    <w:p>
      <w:pPr>
        <w:spacing w:after="160" w:before="80"/>
      </w:pPr>
      <w:r>
        <w:rPr>
          <w:i/>
          <w:iCs/>
          <w:color w:val="555555"/>
          <w:sz w:val="19"/>
          <w:szCs w:val="19"/>
        </w:rPr>
        <w:t xml:space="preserve">ℹ What changed since v1p4: site specs, thresholds, timezone, and the Apps Script URL now live in monitoring.sites and are fetched by Node-RED automatically at startup. Onboarding is now mostly a database insert (Section 1.1) plus the hardware-specific steps (Sections 3–5) that can't be moved into the database. Read this whole document before starting — several steps from the old checklist no longer apply.</w:t>
      </w:r>
    </w:p>
    <w:p>
      <w:pPr>
        <w:spacing w:after="160" w:before="80"/>
      </w:pPr>
      <w:r>
        <w:rPr>
          <w:i/>
          <w:iCs/>
          <w:color w:val="555555"/>
          <w:sz w:val="19"/>
          <w:szCs w:val="19"/>
        </w:rPr>
        <w:t xml:space="preserve">ℹ What changed in the 2026-07-27 revision: the Supabase REST URL is now a Node-RED environment variable as well (Section 1.4), the Apps Script project needs its own Supabase Script Properties (Section 1.3), monitoring.sites gained system_type and client_id (Section 1.1), and the Section 4 node names were corrected against victron_monitor_v1p8.json.</w:t>
      </w:r>
    </w:p>
    <w:p>
      <w:pPr>
        <w:pStyle w:val="Heading1"/>
        <w:spacing w:after="200" w:before="400"/>
      </w:pPr>
      <w:r>
        <w:rPr>
          <w:b/>
          <w:bCs/>
          <w:color w:val="1E2D54"/>
          <w:sz w:val="30"/>
          <w:szCs w:val="30"/>
        </w:rPr>
        <w:t xml:space="preserve">1. Pre-Deployment</w:t>
      </w:r>
    </w:p>
    <w:p>
      <w:pPr>
        <w:pStyle w:val="Heading2"/>
        <w:spacing w:after="150" w:before="300"/>
      </w:pPr>
      <w:r>
        <w:rPr>
          <w:b/>
          <w:bCs/>
          <w:color w:val="4BAE6A"/>
          <w:sz w:val="24"/>
          <w:szCs w:val="24"/>
        </w:rPr>
        <w:t xml:space="preserve">1.1 Supabase — Register the new site</w:t>
      </w:r>
    </w:p>
    <w:p>
      <w:pPr>
        <w:spacing w:after="160" w:before="80"/>
      </w:pPr>
      <w:r>
        <w:rPr>
          <w:i/>
          <w:iCs/>
          <w:color w:val="555555"/>
          <w:sz w:val="19"/>
          <w:szCs w:val="19"/>
        </w:rPr>
        <w:t xml:space="preserve">ℹ Run this SQL in the Supabase SQL Editor of the shared Pauly&amp;Co project (qqorjwnlawhlmrmxxgdb) — NOT a standalone “paulyco-victron” project. Victron Monitor and the solar design tool share one Supabase project; this site's data lives in the monitoring schema.</w:t>
      </w:r>
    </w:p>
    <w:p>
      <w:pPr>
        <w:pBdr>
          <w:top w:val="single" w:color="CCCCCC" w:sz="4"/>
          <w:left w:val="single" w:color="CCCCCC" w:sz="4"/>
          <w:bottom w:val="single" w:color="CCCCCC" w:sz="4"/>
          <w:right w:val="single" w:color="CCCCCC" w:sz="4"/>
        </w:pBdr>
        <w:shd w:fill="F5F5F5" w:val="clear"/>
        <w:spacing w:after="200" w:before="100"/>
      </w:pPr>
      <w:r>
        <w:rPr>
          <w:rFonts w:ascii="Courier New" w:cs="Courier New" w:eastAsia="Courier New" w:hAnsi="Courier New"/>
          <w:sz w:val="18"/>
          <w:szCs w:val="18"/>
        </w:rPr>
        <w:t xml:space="preserve">-- NEW SITE REGISTRATION TEMPLATE</w:t>
      </w:r>
      <w:r>
        <w:br/>
        <w:t xml:space="preserve"/>
      </w:r>
      <w:r>
        <w:rPr>
          <w:rFonts w:ascii="Courier New" w:cs="Courier New" w:eastAsia="Courier New" w:hAnsi="Courier New"/>
          <w:sz w:val="18"/>
          <w:szCs w:val="18"/>
        </w:rPr>
        <w:t xml:space="preserve">-- Replace all &lt;placeholder&gt; values before running</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INSERT INTO monitoring.sites (</w:t>
      </w:r>
      <w:r>
        <w:br/>
        <w:t xml:space="preserve"/>
      </w:r>
      <w:r>
        <w:rPr>
          <w:rFonts w:ascii="Courier New" w:cs="Courier New" w:eastAsia="Courier New" w:hAnsi="Courier New"/>
          <w:sz w:val="18"/>
          <w:szCs w:val="18"/>
        </w:rPr>
        <w:t xml:space="preserve">  site_id, display_name, owner, location, country,</w:t>
      </w:r>
      <w:r>
        <w:br/>
        <w:t xml:space="preserve"/>
      </w:r>
      <w:r>
        <w:rPr>
          <w:rFonts w:ascii="Courier New" w:cs="Courier New" w:eastAsia="Courier New" w:hAnsi="Courier New"/>
          <w:sz w:val="18"/>
          <w:szCs w:val="18"/>
        </w:rPr>
        <w:t xml:space="preserve">  latitude, longitude, pv_kwp, battery_usable_kwh,</w:t>
      </w:r>
      <w:r>
        <w:br/>
        <w:t xml:space="preserve"/>
      </w:r>
      <w:r>
        <w:rPr>
          <w:rFonts w:ascii="Courier New" w:cs="Courier New" w:eastAsia="Courier New" w:hAnsi="Courier New"/>
          <w:sz w:val="18"/>
          <w:szCs w:val="18"/>
        </w:rPr>
        <w:t xml:space="preserve">  timezone, utc_offset_hours, commissioned_at,</w:t>
      </w:r>
      <w:r>
        <w:br/>
        <w:t xml:space="preserve"/>
      </w:r>
      <w:r>
        <w:rPr>
          <w:rFonts w:ascii="Courier New" w:cs="Courier New" w:eastAsia="Courier New" w:hAnsi="Courier New"/>
          <w:sz w:val="18"/>
          <w:szCs w:val="18"/>
        </w:rPr>
        <w:t xml:space="preserve">  report_language, app_script_url, system_type</w:t>
      </w:r>
      <w:r>
        <w:br/>
        <w:t xml:space="preserve"/>
      </w:r>
      <w:r>
        <w:rPr>
          <w:rFonts w:ascii="Courier New" w:cs="Courier New" w:eastAsia="Courier New" w:hAnsi="Courier New"/>
          <w:sz w:val="18"/>
          <w:szCs w:val="18"/>
        </w:rPr>
        <w:t xml:space="preserve">) VALUES (</w:t>
      </w:r>
      <w:r>
        <w:br/>
        <w:t xml:space="preserve"/>
      </w:r>
      <w:r>
        <w:rPr>
          <w:rFonts w:ascii="Courier New" w:cs="Courier New" w:eastAsia="Courier New" w:hAnsi="Courier New"/>
          <w:sz w:val="18"/>
          <w:szCs w:val="18"/>
        </w:rPr>
        <w:t xml:space="preserve">  '&lt;site-slug&gt;',        -- e.g. 'finca-las-flores-m1' (lowercase, hyphens, no spaces)</w:t>
      </w:r>
      <w:r>
        <w:br/>
        <w:t xml:space="preserve"/>
      </w:r>
      <w:r>
        <w:rPr>
          <w:rFonts w:ascii="Courier New" w:cs="Courier New" w:eastAsia="Courier New" w:hAnsi="Courier New"/>
          <w:sz w:val="18"/>
          <w:szCs w:val="18"/>
        </w:rPr>
        <w:t xml:space="preserve">  '&lt;Display Name&gt;',     -- e.g. 'Finca Las Flores M1' (shown in reports)</w:t>
      </w:r>
      <w:r>
        <w:br/>
        <w:t xml:space="preserve"/>
      </w:r>
      <w:r>
        <w:rPr>
          <w:rFonts w:ascii="Courier New" w:cs="Courier New" w:eastAsia="Courier New" w:hAnsi="Courier New"/>
          <w:sz w:val="18"/>
          <w:szCs w:val="18"/>
        </w:rPr>
        <w:t xml:space="preserve">  '&lt;Owner Name&gt;',       -- e.g. 'Juan Pérez'</w:t>
      </w:r>
      <w:r>
        <w:br/>
        <w:t xml:space="preserve"/>
      </w:r>
      <w:r>
        <w:rPr>
          <w:rFonts w:ascii="Courier New" w:cs="Courier New" w:eastAsia="Courier New" w:hAnsi="Courier New"/>
          <w:sz w:val="18"/>
          <w:szCs w:val="18"/>
        </w:rPr>
        <w:t xml:space="preserve">  '&lt;City&gt;',             -- e.g. 'Grecia'</w:t>
      </w:r>
      <w:r>
        <w:br/>
        <w:t xml:space="preserve"/>
      </w:r>
      <w:r>
        <w:rPr>
          <w:rFonts w:ascii="Courier New" w:cs="Courier New" w:eastAsia="Courier New" w:hAnsi="Courier New"/>
          <w:sz w:val="18"/>
          <w:szCs w:val="18"/>
        </w:rPr>
        <w:t xml:space="preserve">  '&lt;CC&gt;',               -- e.g. 'CR' (ISO 3166-1 alpha-2)</w:t>
      </w:r>
      <w:r>
        <w:br/>
        <w:t xml:space="preserve"/>
      </w:r>
      <w:r>
        <w:rPr>
          <w:rFonts w:ascii="Courier New" w:cs="Courier New" w:eastAsia="Courier New" w:hAnsi="Courier New"/>
          <w:sz w:val="18"/>
          <w:szCs w:val="18"/>
        </w:rPr>
        <w:t xml:space="preserve">  0.000000,             -- latitude (decimal degrees, 6dp)</w:t>
      </w:r>
      <w:r>
        <w:br/>
        <w:t xml:space="preserve"/>
      </w:r>
      <w:r>
        <w:rPr>
          <w:rFonts w:ascii="Courier New" w:cs="Courier New" w:eastAsia="Courier New" w:hAnsi="Courier New"/>
          <w:sz w:val="18"/>
          <w:szCs w:val="18"/>
        </w:rPr>
        <w:t xml:space="preserve">  0.000000,             -- longitude (decimal degrees, 6dp)</w:t>
      </w:r>
      <w:r>
        <w:br/>
        <w:t xml:space="preserve"/>
      </w:r>
      <w:r>
        <w:rPr>
          <w:rFonts w:ascii="Courier New" w:cs="Courier New" w:eastAsia="Courier New" w:hAnsi="Courier New"/>
          <w:sz w:val="18"/>
          <w:szCs w:val="18"/>
        </w:rPr>
        <w:t xml:space="preserve">  0.00,                 -- pv_kwp</w:t>
      </w:r>
      <w:r>
        <w:br/>
        <w:t xml:space="preserve"/>
      </w:r>
      <w:r>
        <w:rPr>
          <w:rFonts w:ascii="Courier New" w:cs="Courier New" w:eastAsia="Courier New" w:hAnsi="Courier New"/>
          <w:sz w:val="18"/>
          <w:szCs w:val="18"/>
        </w:rPr>
        <w:t xml:space="preserve">  0.00,                 -- battery_usable_kwh</w:t>
      </w:r>
      <w:r>
        <w:br/>
        <w:t xml:space="preserve"/>
      </w:r>
      <w:r>
        <w:rPr>
          <w:rFonts w:ascii="Courier New" w:cs="Courier New" w:eastAsia="Courier New" w:hAnsi="Courier New"/>
          <w:sz w:val="18"/>
          <w:szCs w:val="18"/>
        </w:rPr>
        <w:t xml:space="preserve">  'America/Costa_Rica', -- IANA timezone</w:t>
      </w:r>
      <w:r>
        <w:br/>
        <w:t xml:space="preserve"/>
      </w:r>
      <w:r>
        <w:rPr>
          <w:rFonts w:ascii="Courier New" w:cs="Courier New" w:eastAsia="Courier New" w:hAnsi="Courier New"/>
          <w:sz w:val="18"/>
          <w:szCs w:val="18"/>
        </w:rPr>
        <w:t xml:space="preserve">  -6,                   -- UTC offset hours (Costa Rica = -6, no DST)</w:t>
      </w:r>
      <w:r>
        <w:br/>
        <w:t xml:space="preserve"/>
      </w:r>
      <w:r>
        <w:rPr>
          <w:rFonts w:ascii="Courier New" w:cs="Courier New" w:eastAsia="Courier New" w:hAnsi="Courier New"/>
          <w:sz w:val="18"/>
          <w:szCs w:val="18"/>
        </w:rPr>
        <w:t xml:space="preserve">  '2026-01-01',         -- commissioned_at</w:t>
      </w:r>
      <w:r>
        <w:br/>
        <w:t xml:space="preserve"/>
      </w:r>
      <w:r>
        <w:rPr>
          <w:rFonts w:ascii="Courier New" w:cs="Courier New" w:eastAsia="Courier New" w:hAnsi="Courier New"/>
          <w:sz w:val="18"/>
          <w:szCs w:val="18"/>
        </w:rPr>
        <w:t xml:space="preserve">  'en',                 -- 'en' or 'es' — weekly report language</w:t>
      </w:r>
      <w:r>
        <w:br/>
        <w:t xml:space="preserve"/>
      </w:r>
      <w:r>
        <w:rPr>
          <w:rFonts w:ascii="Courier New" w:cs="Courier New" w:eastAsia="Courier New" w:hAnsi="Courier New"/>
          <w:sz w:val="18"/>
          <w:szCs w:val="18"/>
        </w:rPr>
        <w:t xml:space="preserve">  '&lt;Apps Script URL&gt;',  -- see 1.3 — currently the same URL for every site</w:t>
      </w:r>
      <w:r>
        <w:br/>
        <w:t xml:space="preserve"/>
      </w:r>
      <w:r>
        <w:rPr>
          <w:rFonts w:ascii="Courier New" w:cs="Courier New" w:eastAsia="Courier New" w:hAnsi="Courier New"/>
          <w:sz w:val="18"/>
          <w:szCs w:val="18"/>
        </w:rPr>
        <w:t xml:space="preserve">  'hybrid'              -- 'grid_zero' | 'off_grid' | 'hybrid' (migration 009)</w:t>
      </w:r>
      <w:r>
        <w:br/>
        <w:t xml:space="preserve"/>
      </w:r>
      <w:r>
        <w:rPr>
          <w:rFonts w:ascii="Courier New" w:cs="Courier New" w:eastAsia="Courier New" w:hAnsi="Courier New"/>
          <w:sz w:val="18"/>
          <w:szCs w:val="18"/>
        </w:rPr>
        <w:t xml:space="preserve">) ON CONFLICT (site_id) DO NOTHING;</w:t>
      </w:r>
    </w:p>
    <w:p>
      <w:pPr>
        <w:spacing w:after="120" w:before="60"/>
      </w:pPr>
      <w:r>
        <w:rPr>
          <w:sz w:val="20"/>
          <w:szCs w:val="20"/>
        </w:rPr>
        <w:t xml:space="preserve">health_thresholds is intentionally not in the template above — it defaults to the standard threshold set (see database/migrations/010_battery_cycle_threshold.sql, which recalibrated batteryCyclesHigh/Mid to 10.0/7.0 — hybrid and off-grid systems are designed to cycle daily, so the old 1.5/1.0 flagged healthy systems). Only set it if this site genuinely needs different health scoring, and only the keys that differ — the function merges your JSON over the defaults:</w:t>
      </w:r>
    </w:p>
    <w:p>
      <w:pPr>
        <w:pBdr>
          <w:top w:val="single" w:color="CCCCCC" w:sz="4"/>
          <w:left w:val="single" w:color="CCCCCC" w:sz="4"/>
          <w:bottom w:val="single" w:color="CCCCCC" w:sz="4"/>
          <w:right w:val="single" w:color="CCCCCC" w:sz="4"/>
        </w:pBdr>
        <w:shd w:fill="F5F5F5" w:val="clear"/>
        <w:spacing w:after="200" w:before="100"/>
      </w:pPr>
      <w:r>
        <w:rPr>
          <w:rFonts w:ascii="Courier New" w:cs="Courier New" w:eastAsia="Courier New" w:hAnsi="Courier New"/>
          <w:sz w:val="18"/>
          <w:szCs w:val="18"/>
        </w:rPr>
        <w:t xml:space="preserve">UPDATE monitoring.sites</w:t>
      </w:r>
      <w:r>
        <w:br/>
        <w:t xml:space="preserve"/>
      </w:r>
      <w:r>
        <w:rPr>
          <w:rFonts w:ascii="Courier New" w:cs="Courier New" w:eastAsia="Courier New" w:hAnsi="Courier New"/>
          <w:sz w:val="18"/>
          <w:szCs w:val="18"/>
        </w:rPr>
        <w:t xml:space="preserve">SET health_thresholds = health_thresholds || '{"socLowWarning": 25}'::jsonb</w:t>
      </w:r>
      <w:r>
        <w:br/>
        <w:t xml:space="preserve"/>
      </w:r>
      <w:r>
        <w:rPr>
          <w:rFonts w:ascii="Courier New" w:cs="Courier New" w:eastAsia="Courier New" w:hAnsi="Courier New"/>
          <w:sz w:val="18"/>
          <w:szCs w:val="18"/>
        </w:rPr>
        <w:t xml:space="preserve">WHERE site_id = '&lt;site-slug&gt;';</w:t>
      </w:r>
    </w:p>
    <w:p>
      <w:pPr>
        <w:spacing w:after="160" w:before="80"/>
      </w:pPr>
      <w:r>
        <w:rPr>
          <w:i/>
          <w:iCs/>
          <w:color w:val="555555"/>
          <w:sz w:val="19"/>
          <w:szCs w:val="19"/>
        </w:rPr>
        <w:t xml:space="preserve">ℹ Link the site to its customer. client_id (migration 007) is what makes the weekly report reach the actual customer: leave it NULL and monitoring.get_report_email() returns nothing, so Apps Script silently falls back to the internal proyectos@paulyco.com address. Run this after the INSERT, once you know the client row:</w:t>
      </w:r>
    </w:p>
    <w:p>
      <w:pPr>
        <w:pBdr>
          <w:top w:val="single" w:color="CCCCCC" w:sz="4"/>
          <w:left w:val="single" w:color="CCCCCC" w:sz="4"/>
          <w:bottom w:val="single" w:color="CCCCCC" w:sz="4"/>
          <w:right w:val="single" w:color="CCCCCC" w:sz="4"/>
        </w:pBdr>
        <w:shd w:fill="F5F5F5" w:val="clear"/>
        <w:spacing w:after="200" w:before="100"/>
      </w:pPr>
      <w:r>
        <w:rPr>
          <w:rFonts w:ascii="Courier New" w:cs="Courier New" w:eastAsia="Courier New" w:hAnsi="Courier New"/>
          <w:sz w:val="18"/>
          <w:szCs w:val="18"/>
        </w:rPr>
        <w:t xml:space="preserve">-- Find the client first:</w:t>
      </w:r>
      <w:r>
        <w:br/>
        <w:t xml:space="preserve"/>
      </w:r>
      <w:r>
        <w:rPr>
          <w:rFonts w:ascii="Courier New" w:cs="Courier New" w:eastAsia="Courier New" w:hAnsi="Courier New"/>
          <w:sz w:val="18"/>
          <w:szCs w:val="18"/>
        </w:rPr>
        <w:t xml:space="preserve">--   SELECT id, name, email FROM public.clients WHERE name ILIKE '%&lt;customer&gt;%';</w:t>
      </w:r>
      <w:r>
        <w:br/>
        <w:t xml:space="preserve"/>
      </w:r>
      <w:r>
        <w:rPr>
          <w:rFonts w:ascii="Courier New" w:cs="Courier New" w:eastAsia="Courier New" w:hAnsi="Courier New"/>
          <w:sz w:val="18"/>
          <w:szCs w:val="18"/>
        </w:rPr>
        <w:t xml:space="preserve">UPDATE monitoring.sites SET client_id = '&lt;client-uuid&gt;'</w:t>
      </w:r>
      <w:r>
        <w:br/>
        <w:t xml:space="preserve"/>
      </w:r>
      <w:r>
        <w:rPr>
          <w:rFonts w:ascii="Courier New" w:cs="Courier New" w:eastAsia="Courier New" w:hAnsi="Courier New"/>
          <w:sz w:val="18"/>
          <w:szCs w:val="18"/>
        </w:rPr>
        <w:t xml:space="preserve">WHERE site_id = '&lt;site-slug&gt;';</w:t>
      </w:r>
    </w:p>
    <w:p>
      <w:pPr>
        <w:spacing w:after="160" w:before="80"/>
      </w:pPr>
      <w:r>
        <w:rPr>
          <w:i/>
          <w:iCs/>
          <w:color w:val="4BAE6A"/>
          <w:sz w:val="19"/>
          <w:szCs w:val="19"/>
        </w:rPr>
        <w:t xml:space="preserve">✓ No schema changes, no new grants, and no Data API settings to touch for a new site — those are configured once at the schema level and already apply to every row. The INSERT plus the client_id link is the entire Supabase-side setup.</w:t>
      </w:r>
    </w:p>
    <w:p>
      <w:pPr>
        <w:pStyle w:val="Heading2"/>
        <w:spacing w:after="150" w:before="300"/>
      </w:pPr>
      <w:r>
        <w:rPr>
          <w:b/>
          <w:bCs/>
          <w:color w:val="4BAE6A"/>
          <w:sz w:val="24"/>
          <w:szCs w:val="24"/>
        </w:rPr>
        <w:t xml:space="preserve">1.2 Google Sheets — Confirm shared workbook</w:t>
      </w:r>
    </w:p>
    <w:p>
      <w:pPr>
        <w:spacing w:after="160" w:before="80"/>
      </w:pPr>
      <w:r>
        <w:rPr>
          <w:i/>
          <w:iCs/>
          <w:color w:val="555555"/>
          <w:sz w:val="19"/>
          <w:szCs w:val="19"/>
        </w:rPr>
        <w:t xml:space="preserve">ℹ A single shared workbook is used for all sites. All tabs (DailySummary, AlarmEvents, GridLost, ACInput, DailyHealth) accept rows from any site, distinguished by the site column. No new workbook or tab is needed per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160"/>
        <w:gridCol w:w="700"/>
      </w:tblGrid>
      <w:tr>
        <w:trPr>
          <w:tblHeader/>
        </w:trPr>
        <w:tc>
          <w:tcPr>
            <w:tcW w:type="dxa" w:w="5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c>
          <w:tcPr>
            <w:tcW w:type="dxa" w:w="81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Action</w:t>
            </w:r>
          </w:p>
        </w:tc>
        <w:tc>
          <w:tcPr>
            <w:tcW w:type="dxa" w:w="7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1</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Confirm the shared Victron_Events workbook is accessible</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2</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Confirm DailySummary tab has all required columns (date → reportLanguage)</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3</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Confirm AlarmEvents, GridLost, ACInput, and DailyHealth tabs exist</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bl>
    <w:p>
      <w:pPr>
        <w:pStyle w:val="Heading2"/>
        <w:spacing w:after="150" w:before="300"/>
      </w:pPr>
      <w:r>
        <w:rPr>
          <w:b/>
          <w:bCs/>
          <w:color w:val="4BAE6A"/>
          <w:sz w:val="24"/>
          <w:szCs w:val="24"/>
        </w:rPr>
        <w:t xml:space="preserve">1.3 Google Apps Script — Web app URL and Script Properties</w:t>
      </w:r>
    </w:p>
    <w:p>
      <w:pPr>
        <w:spacing w:after="160" w:before="80"/>
      </w:pPr>
      <w:r>
        <w:rPr>
          <w:i/>
          <w:iCs/>
          <w:color w:val="555555"/>
          <w:sz w:val="19"/>
          <w:szCs w:val="19"/>
        </w:rPr>
        <w:t xml:space="preserve">ℹ Today, one Apps Script Web App deployment handles every site — the URL is the same for all of them and is stored per-site in monitoring.sites.app_script_url (Section 1.1) rather than hardcoded in Node-RED. It's stored per-site in the schema so a future customer can get their own separate Google account/Sheets/Apps Script deployment without a schema change — for now, just reuse the existing URL. The Apps Script project also needs its own Supabase credentials: the weekly report now reads monitoring.energy_daily and monitoring.sites straight from Supabase rather than from the Sheets tabs, and getSupabaseConfig_() throws on the first weekly run if the Script Properties below are missing. Reusing the existing deployment means they are already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160"/>
        <w:gridCol w:w="700"/>
      </w:tblGrid>
      <w:tr>
        <w:trPr>
          <w:tblHeader/>
        </w:trPr>
        <w:tc>
          <w:tcPr>
            <w:tcW w:type="dxa" w:w="5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c>
          <w:tcPr>
            <w:tcW w:type="dxa" w:w="81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Action</w:t>
            </w:r>
          </w:p>
        </w:tc>
        <w:tc>
          <w:tcPr>
            <w:tcW w:type="dxa" w:w="7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1</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Confirm the shared Apps Script Web App URL is active (test with a browser GET — should return a 405 or redirect, not an error)</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2</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Confirm the same URL was used in the Section 1.1 INSERT statement's app_script_url value</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3</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Apps Script editor → Project Settings → Script Properties: confirm SUPABASE_URL = https://qqorjwnlawhlmrmxxgdb.supabase.co/rest/v1 (note the /rest/v1 suffix)</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4</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Confirm SUPABASE_ANON_KEY is the anon / public key (Project Settings → API) — never the service_role key, and never hardcoded in the script</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bl>
    <w:p>
      <w:pPr>
        <w:pStyle w:val="Heading2"/>
        <w:spacing w:after="150" w:before="300"/>
      </w:pPr>
      <w:r>
        <w:rPr>
          <w:b/>
          <w:bCs/>
          <w:color w:val="4BAE6A"/>
          <w:sz w:val="24"/>
          <w:szCs w:val="24"/>
        </w:rPr>
        <w:t xml:space="preserve">1.4 Node-RED device — Supabase environment variables (one-time per Cerbo)</w:t>
      </w:r>
    </w:p>
    <w:p>
      <w:pPr>
        <w:spacing w:after="160" w:before="80"/>
      </w:pPr>
      <w:r>
        <w:rPr>
          <w:i/>
          <w:iCs/>
          <w:color w:val="555555"/>
          <w:sz w:val="19"/>
          <w:szCs w:val="19"/>
        </w:rPr>
        <w:t xml:space="preserve">⚠ New requirement, not in v1p4. Neither the Supabase REST URL nor the anon key is hardcoded in the flow — both are Node-RED Global Environment Variables, so an exported flow file never carries a credential. Both must be set up once per physical Cerbo device, BEFORE deploying the flow (Section 2). Miss the key and every Supabase write fails authentication; miss the URL and every request goes to a URL starting with "undefined/", leaving Merge Site Config stuck on the yellow fallback.</w:t>
      </w:r>
    </w:p>
    <w:p>
      <w:pPr>
        <w:spacing w:after="160" w:before="80"/>
      </w:pPr>
      <w:r>
        <w:rPr>
          <w:i/>
          <w:iCs/>
          <w:color w:val="555555"/>
          <w:sz w:val="19"/>
          <w:szCs w:val="19"/>
        </w:rPr>
        <w:t xml:space="preserve">⚠ Do NOT copy these two values from the design tool's .env file — neither one is what a Cerbo wants. That file holds the Streamlit app's credentials: its SUPABASE_URL is the bare project URL with no /rest/v1 suffix, and its only key is SUPABASE_SERVICE_ROLE_KEY, which bypasses RLS entirely and must never be deployed to a Cerbo or to Apps Script — on a customer's device it would expose the whole database, public.clients included. Take the anon / public key from the Supabase dashboard (Project Settings → API; newer projects label it sb_publishable_…). The monitoring schema's grants are built around the anon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160"/>
        <w:gridCol w:w="700"/>
      </w:tblGrid>
      <w:tr>
        <w:trPr>
          <w:tblHeader/>
        </w:trPr>
        <w:tc>
          <w:tcPr>
            <w:tcW w:type="dxa" w:w="5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c>
          <w:tcPr>
            <w:tcW w:type="dxa" w:w="81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Action</w:t>
            </w:r>
          </w:p>
        </w:tc>
        <w:tc>
          <w:tcPr>
            <w:tcW w:type="dxa" w:w="7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1</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On the Cerbo's Node-RED editor: Menu (☰) → Settings → Environment tab</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2</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Click “+ add” → Name: SUPABASE_URL, Type: string, Value: https://qqorjwnlawhlmrmxxgdb.supabase.co/rest/v1 (include the /rest/v1 suffix)</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3</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Click “+ add” again → Name: SUPABASE_ANON_KEY</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4</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Set SUPABASE_ANON_KEY's Type to credential (padlock icon) — NOT string or env variable. SUPABASE_URL stays a plain string</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5</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Paste the anon / public key as its Value — Supabase dashboard → Project Settings → API, NOT the service_role key and NOT anything from the repo's .env</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6</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Close the dialog — this device now exposes both to every flow via env.get('SUPABASE_URL') and env.get('SUPABASE_ANON_KEY')</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bl>
    <w:p>
      <w:pPr>
        <w:spacing w:after="160" w:before="80"/>
      </w:pPr>
      <w:r>
        <w:rPr>
          <w:i/>
          <w:iCs/>
          <w:color w:val="666666"/>
          <w:sz w:val="19"/>
          <w:szCs w:val="19"/>
        </w:rPr>
        <w:t xml:space="preserve">ℹ If your Node-RED version predates 3.1 (no Environment tab under Settings), set both in settings.js instead: process.env.SUPABASE_URL = '...'; process.env.SUPABASE_ANON_KEY = '...'; — env.get() reads those too, but they are then stored in plain text on the device.</w:t>
      </w:r>
    </w:p>
    <w:p>
      <w:pPr>
        <w:pStyle w:val="Heading1"/>
        <w:spacing w:after="200" w:before="400"/>
      </w:pPr>
      <w:r>
        <w:rPr>
          <w:b/>
          <w:bCs/>
          <w:color w:val="1E2D54"/>
          <w:sz w:val="30"/>
          <w:szCs w:val="30"/>
        </w:rPr>
        <w:t xml:space="preserve">2. Node-RED Import</w:t>
      </w:r>
    </w:p>
    <w:p>
      <w:pPr>
        <w:spacing w:after="160" w:before="80"/>
      </w:pPr>
      <w:r>
        <w:rPr>
          <w:i/>
          <w:iCs/>
          <w:color w:val="555555"/>
          <w:sz w:val="19"/>
          <w:szCs w:val="19"/>
        </w:rPr>
        <w:t xml:space="preserve">⚠ A full import wipes flow context (energyData accumulator, outageDaily, lastPvYield, alarmState, gridLostState). Only import on initial deployment. Use Modified Nodes for all subsequent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160"/>
        <w:gridCol w:w="700"/>
      </w:tblGrid>
      <w:tr>
        <w:trPr>
          <w:tblHeader/>
        </w:trPr>
        <w:tc>
          <w:tcPr>
            <w:tcW w:type="dxa" w:w="5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c>
          <w:tcPr>
            <w:tcW w:type="dxa" w:w="81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Action</w:t>
            </w:r>
          </w:p>
        </w:tc>
        <w:tc>
          <w:tcPr>
            <w:tcW w:type="dxa" w:w="7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1</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Complete Section 1.4 (both Supabase environment variables) on this device before continuing</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2</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Open Node-RED on the Cerbo GX via VRM Remote Console or local IP (:1880)</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3</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Menu (☰) → Import → paste contents of node-red/victron_monitor_v1p8.json</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4</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Click Import — do NOT deploy yet</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5</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Open the Project Config function node and update the site identity (see Section 3)</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6</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Click Done, then Deploy → Modified Flows</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7</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Verify Project Config status shows: “Config loaded: &lt;Site Name&gt;”</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8</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Within ~5 seconds, verify the “Merge Site Config” node status shows: “Config synced: &lt;Site Name&gt;” (green). If it shows yellow “Using local fallback config” instead, the Supabase fetch failed — double-check site_id matches the monitoring.sites row exactly, and that Section 1.4 was completed</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9</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After importing, reopen Menu (☰) → Settings → Environment and confirm both variables are still present with values — the exported flow carries an empty global-config env list, and a full import can clear what you set in Section 1.4</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bl>
    <w:p>
      <w:pPr>
        <w:pStyle w:val="Heading1"/>
        <w:spacing w:after="200" w:before="400"/>
      </w:pPr>
      <w:r>
        <w:rPr>
          <w:b/>
          <w:bCs/>
          <w:color w:val="1E2D54"/>
          <w:sz w:val="30"/>
          <w:szCs w:val="30"/>
        </w:rPr>
        <w:t xml:space="preserve">3. Project Config — Parameters</w:t>
      </w:r>
    </w:p>
    <w:p>
      <w:pPr>
        <w:spacing w:after="160" w:before="80"/>
      </w:pPr>
      <w:r>
        <w:rPr>
          <w:i/>
          <w:iCs/>
          <w:color w:val="555555"/>
          <w:sz w:val="19"/>
          <w:szCs w:val="19"/>
        </w:rPr>
        <w:t xml:space="preserve">ℹ Dramatically shorter than v1p4. Site specs, thresholds, timezone, and the Apps Script URL are now fetched automatically from monitoring.sites by the “Fetch Site Config” node chain — editing the database row in Section 1.1 is sufficient for all of those. Only the fields below still require manual entry in Node-RED.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Parameter</w:t>
            </w:r>
          </w:p>
        </w:tc>
        <w:tc>
          <w:tcPr>
            <w:tcW w:type="dxa" w:w="36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Value / Example</w:t>
            </w:r>
          </w:p>
        </w:tc>
        <w:tc>
          <w:tcPr>
            <w:tcW w:type="dxa" w:w="33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Notes</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siteId</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vista-atenas-lp-m3</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Must match monitoring.sites.site_id exactly — this is the lookup key the Fetch Site Config chain uses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supabaseUrl</w:t>
            </w:r>
          </w:p>
        </w:tc>
        <w:tc>
          <w:tcPr>
            <w:tcW w:type="dxa" w:w="3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env.get('SUPABASE_URL')</w:t>
            </w:r>
          </w:p>
        </w:tc>
        <w:tc>
          <w:tcPr>
            <w:tcW w:type="dxa" w:w="3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Do not paste a literal URL here. Comes from the Section 1.4 env var — the shared REST URL (https://qqorjwnlawhlmrmxxgdb.supabase.co/rest/v1) is set on the device, not in the flow</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supabaseAnonKey</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env.get('SUPABASE_ANON_KEY')</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Do not paste a literal key here. Comes from the Section 1.4 credential env var — verify this line says env.get('SUPABASE_ANON_KEY'), not a hardcoded string</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mpptControllers[0].name</w:t>
            </w:r>
          </w:p>
        </w:tc>
        <w:tc>
          <w:tcPr>
            <w:tcW w:type="dxa" w:w="3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 450/200 HQ2507WTYA7</w:t>
            </w:r>
          </w:p>
        </w:tc>
        <w:tc>
          <w:tcPr>
            <w:tcW w:type="dxa" w:w="3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Hardware wiring — serial number from VictronConnect. Stays local; not in Supabase</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mpptControllers[0].trackers</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S1/S2/S3/N/A</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String names matching electrical plans; set active:false for unused inputs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mpptControllers[1].name</w:t>
            </w:r>
          </w:p>
        </w:tc>
        <w:tc>
          <w:tcPr>
            <w:tcW w:type="dxa" w:w="3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 450/200 HQ2507GFD9W</w:t>
            </w:r>
          </w:p>
        </w:tc>
        <w:tc>
          <w:tcPr>
            <w:tcW w:type="dxa" w:w="33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Second controller serial, if present</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mpptControllers[1].trackers</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S4/S5/S6/N/A</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String names for second controller, if present</w:t>
            </w:r>
          </w:p>
        </w:tc>
      </w:tr>
    </w:tbl>
    <w:p>
      <w:pPr>
        <w:spacing w:after="100" w:before="100"/>
      </w:pPr>
    </w:p>
    <w:p>
      <w:pPr>
        <w:spacing w:after="160" w:before="80"/>
      </w:pPr>
      <w:r>
        <w:rPr>
          <w:i/>
          <w:iCs/>
          <w:color w:val="555555"/>
          <w:sz w:val="19"/>
          <w:szCs w:val="19"/>
        </w:rPr>
        <w:t xml:space="preserve">ℹ Fields that existed in the v1p4 checklist and are now removed from this table — do not set them here, edit the monitoring.sites row instead: site, reportLanguage, appScriptUrl, batteryUsableKWh, pvKwp, timezone, utcOffsetHours, healthThresholds, maxIntegrationGapMinutes (this last one now defaults sensibly and rarely needs per-site tuning).</w:t>
      </w:r>
    </w:p>
    <w:p>
      <w:pPr>
        <w:pStyle w:val="Heading1"/>
        <w:spacing w:after="200" w:before="400"/>
      </w:pPr>
      <w:r>
        <w:rPr>
          <w:b/>
          <w:bCs/>
          <w:color w:val="1E2D54"/>
          <w:sz w:val="30"/>
          <w:szCs w:val="30"/>
        </w:rPr>
        <w:t xml:space="preserve">4. Measurement Selection</w:t>
      </w:r>
    </w:p>
    <w:p>
      <w:pPr>
        <w:spacing w:after="160" w:before="80"/>
      </w:pPr>
      <w:r>
        <w:rPr>
          <w:i/>
          <w:iCs/>
          <w:color w:val="555555"/>
          <w:sz w:val="19"/>
          <w:szCs w:val="19"/>
        </w:rPr>
        <w:t xml:space="preserve">⚠ Physical device wiring, unrelated to the Supabase/config changes above. Node names below match victron_monitor_v1p8.json exactly — note that the per-tracker solar-charger nodes are named MPPT1/MPPT2 (not SC0/SC1) and that Battery SOC is a system node, not a battery node. Measurement selections are NOT saved in the JSON export. Every Victron input node must be configured manually after import. The Victron device must be online and visible to the Cerbo for measurements to appear in the dropdown.</w:t>
      </w:r>
    </w:p>
    <w:p>
      <w:pPr>
        <w:pStyle w:val="Heading2"/>
        <w:spacing w:after="150" w:before="300"/>
      </w:pPr>
      <w:r>
        <w:rPr>
          <w:b/>
          <w:bCs/>
          <w:color w:val="4BAE6A"/>
          <w:sz w:val="24"/>
          <w:szCs w:val="24"/>
        </w:rPr>
        <w:t xml:space="preserve">4.1 System (victron-input-system)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W w:type="dxa" w:w="26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Node Name</w:t>
            </w:r>
          </w:p>
        </w:tc>
        <w:tc>
          <w:tcPr>
            <w:tcW w:type="dxa" w:w="55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Measurement to Select</w:t>
            </w:r>
          </w:p>
        </w:tc>
        <w:tc>
          <w:tcPr>
            <w:tcW w:type="dxa" w:w="12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Battery Power</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Battery Power (W)</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PV Power</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PV Power (W)</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Grid L1 Power</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Grid L1 Power (W)</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Grid L2 Power</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Grid L2 Power (W)</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AC Consumption L1</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AC Consumption L1 (W)</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AC Consumption L2</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AC Consumption L2 (W)</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AC Input Source</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AC Input Source</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Battery SOC</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Battery State of Charge (%)</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bl>
    <w:p>
      <w:pPr>
        <w:spacing w:after="100" w:before="100"/>
      </w:pPr>
    </w:p>
    <w:p>
      <w:pPr>
        <w:pStyle w:val="Heading2"/>
        <w:spacing w:after="150" w:before="300"/>
      </w:pPr>
      <w:r>
        <w:rPr>
          <w:b/>
          <w:bCs/>
          <w:color w:val="4BAE6A"/>
          <w:sz w:val="24"/>
          <w:szCs w:val="24"/>
        </w:rPr>
        <w:t xml:space="preserve">4.2 Battery (victron-input-battery)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W w:type="dxa" w:w="26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Node Name</w:t>
            </w:r>
          </w:p>
        </w:tc>
        <w:tc>
          <w:tcPr>
            <w:tcW w:type="dxa" w:w="55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Measurement to Select</w:t>
            </w:r>
          </w:p>
        </w:tc>
        <w:tc>
          <w:tcPr>
            <w:tcW w:type="dxa" w:w="12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Battery Voltage</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Voltage (V)</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Battery Current</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Current (A)</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Battery Temperature</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Temperature (°C)</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High Temperature Alarm</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High temperature alarm</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bl>
    <w:p>
      <w:pPr>
        <w:spacing w:after="100" w:before="100"/>
      </w:pPr>
    </w:p>
    <w:p>
      <w:pPr>
        <w:pStyle w:val="Heading2"/>
        <w:spacing w:after="150" w:before="300"/>
      </w:pPr>
      <w:r>
        <w:rPr>
          <w:b/>
          <w:bCs/>
          <w:color w:val="4BAE6A"/>
          <w:sz w:val="24"/>
          <w:szCs w:val="24"/>
        </w:rPr>
        <w:t xml:space="preserve">4.3 VE.Bus / Inverter (victron-input-vebus)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W w:type="dxa" w:w="26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Node Name</w:t>
            </w:r>
          </w:p>
        </w:tc>
        <w:tc>
          <w:tcPr>
            <w:tcW w:type="dxa" w:w="55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Measurement to Select</w:t>
            </w:r>
          </w:p>
        </w:tc>
        <w:tc>
          <w:tcPr>
            <w:tcW w:type="dxa" w:w="12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Grid Frequency</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AC in 1 frequency (Hz)</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Grid Voltage L1</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Input voltage phase 1 (VAC)</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Grid Voltage L2</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Input voltage phase 2 (VAC)</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VE.Bus State</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VE.Bus State</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AC Output L1</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AC out 1 voltage L1 (VAC)</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AC Output L2</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AC out 1 voltage L2 (VAC)</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Grid Lost Status</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Grid Lost Alarm</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Overload Alarm</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Overload alarm</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Low Battery Alarm 2</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Low battery alarm</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bl>
    <w:p>
      <w:pPr>
        <w:spacing w:after="100" w:before="100"/>
      </w:pPr>
    </w:p>
    <w:p>
      <w:pPr>
        <w:pStyle w:val="Heading2"/>
        <w:spacing w:after="150" w:before="300"/>
      </w:pPr>
      <w:r>
        <w:rPr>
          <w:b/>
          <w:bCs/>
          <w:color w:val="4BAE6A"/>
          <w:sz w:val="24"/>
          <w:szCs w:val="24"/>
        </w:rPr>
        <w:t xml:space="preserve">4.4 Solar Charger instance 0 — MPPT #1 (victron-input-solarcharger)</w:t>
      </w:r>
    </w:p>
    <w:p>
      <w:pPr>
        <w:spacing w:after="160" w:before="80"/>
      </w:pPr>
      <w:r>
        <w:rPr>
          <w:i/>
          <w:iCs/>
          <w:color w:val="555555"/>
          <w:sz w:val="19"/>
          <w:szCs w:val="19"/>
        </w:rPr>
        <w:t xml:space="preserve">ℹ Select the correct MPPT controller instance from the Solar Charger dropdown for each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W w:type="dxa" w:w="26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Node Name</w:t>
            </w:r>
          </w:p>
        </w:tc>
        <w:tc>
          <w:tcPr>
            <w:tcW w:type="dxa" w:w="55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Measurement to Select</w:t>
            </w:r>
          </w:p>
        </w:tc>
        <w:tc>
          <w:tcPr>
            <w:tcW w:type="dxa" w:w="12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PV Yield Today SC0</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Yield today (kWh)</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Charger Alarm</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Charger error</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MPPT1 T0(S1) voltage</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Tracker 1 voltage</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MPPT1 T0(S1) power</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Tracker 1 power</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MPPT1 T0(S1) yield_today</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Yield today for tracker 0 (kWh)</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MPPT1 T1(S2) voltage</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Tracker 2 voltage</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MPPT1 T1(S2) power</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Tracker 2 power</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MPPT1 T1(S2) yield_today</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Yield today for tracker 1 (kWh)</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MPPT1 T2(S3) voltage</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Tracker 3 voltage</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MPPT1 T2(S3) power</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Tracker 3 power</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MPPT1 T2(S3) yield_today</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Yield today for tracker 2 (kWh)</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MPPT1 T3(N/A) voltage</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Tracker 4 voltage — skip if inactive</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MPPT1 T3(N/A) power</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Tracker 4 power — skip if inactive</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MPPT1 T3(N/A) yield_today</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Yield today for tracker 3 — skip if inactive</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bl>
    <w:p>
      <w:pPr>
        <w:spacing w:after="100" w:before="100"/>
      </w:pPr>
    </w:p>
    <w:p>
      <w:pPr>
        <w:pStyle w:val="Heading2"/>
        <w:spacing w:after="150" w:before="300"/>
      </w:pPr>
      <w:r>
        <w:rPr>
          <w:b/>
          <w:bCs/>
          <w:color w:val="4BAE6A"/>
          <w:sz w:val="24"/>
          <w:szCs w:val="24"/>
        </w:rPr>
        <w:t xml:space="preserve">4.5 Solar Charger instance 1 — MPPT #2 (victron-input-solarcharger)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W w:type="dxa" w:w="26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Node Name</w:t>
            </w:r>
          </w:p>
        </w:tc>
        <w:tc>
          <w:tcPr>
            <w:tcW w:type="dxa" w:w="55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Measurement to Select</w:t>
            </w:r>
          </w:p>
        </w:tc>
        <w:tc>
          <w:tcPr>
            <w:tcW w:type="dxa" w:w="12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PV Yield Today SC1</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Yield today (kWh)</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MPPT2 T0(S4) voltage</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Tracker 1 voltage</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MPPT2 T0(S4) power</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Tracker 1 power</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MPPT2 T0(S4) yield_today</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Yield today for tracker 0 (kWh)</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MPPT2 T1(S5) voltage</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Tracker 2 voltage</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MPPT2 T1(S5) power</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Tracker 2 power</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MPPT2 T1(S5) yield_today</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Yield today for tracker 1 (kWh)</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MPPT2 T2(S6) voltage</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Tracker 3 voltage</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MPPT2 T2(S6) power</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Tracker 3 power</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MPPT2 T2(S6) yield_today</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Yield today for tracker 2 (kWh)</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MPPT2 T3(N/A) voltage</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Tracker 4 voltage — skip if inactive</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MPPT2 T3(N/A) power</w:t>
            </w:r>
          </w:p>
        </w:tc>
        <w:tc>
          <w:tcPr>
            <w:tcW w:type="dxa" w:w="5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Tracker 4 power — skip if inactive</w:t>
            </w:r>
          </w:p>
        </w:tc>
        <w:tc>
          <w:tcPr>
            <w:tcW w:type="dxa" w:w="1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MPPT2 T3(N/A) yield_today</w:t>
            </w:r>
          </w:p>
        </w:tc>
        <w:tc>
          <w:tcPr>
            <w:tcW w:type="dxa" w:w="5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Yield today for tracker 3 — skip if inactive</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18"/>
                <w:szCs w:val="18"/>
              </w:rPr>
              <w:t xml:space="preserve">☐</w:t>
            </w:r>
          </w:p>
        </w:tc>
      </w:tr>
    </w:tbl>
    <w:p>
      <w:pPr>
        <w:spacing w:after="100" w:before="100"/>
      </w:pPr>
    </w:p>
    <w:p>
      <w:pPr>
        <w:pStyle w:val="Heading1"/>
        <w:spacing w:after="200" w:before="400"/>
      </w:pPr>
      <w:r>
        <w:rPr>
          <w:b/>
          <w:bCs/>
          <w:color w:val="1E2D54"/>
          <w:sz w:val="30"/>
          <w:szCs w:val="30"/>
        </w:rPr>
        <w:t xml:space="preserve">5. Auto Daily Inject — Crontab</w:t>
      </w:r>
    </w:p>
    <w:p>
      <w:pPr>
        <w:spacing w:after="160" w:before="80"/>
      </w:pPr>
      <w:r>
        <w:rPr>
          <w:i/>
          <w:iCs/>
          <w:color w:val="555555"/>
          <w:sz w:val="19"/>
          <w:szCs w:val="19"/>
        </w:rPr>
        <w:t xml:space="preserve">ℹ Unchanged from v1p4. The Auto Daily Inject node fires at local 23:55. Node-RED reads the Cerbo system clock. As long as the Cerbo timezone matches the site timezone, the crontab “55 23 * * *” is correct for any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160"/>
        <w:gridCol w:w="700"/>
      </w:tblGrid>
      <w:tr>
        <w:trPr>
          <w:tblHeader/>
        </w:trPr>
        <w:tc>
          <w:tcPr>
            <w:tcW w:type="dxa" w:w="5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c>
          <w:tcPr>
            <w:tcW w:type="dxa" w:w="81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Action</w:t>
            </w:r>
          </w:p>
        </w:tc>
        <w:tc>
          <w:tcPr>
            <w:tcW w:type="dxa" w:w="7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1</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Confirm Cerbo timezone is set to the site's local timezone (Settings → General → Time zone)</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2</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Open Auto Daily Inject node — verify it is set to “at a specific time” at 23:55, all days checked</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3</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No crontab changes needed if Cerbo timezone = site timezone</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bl>
    <w:p>
      <w:pPr>
        <w:pStyle w:val="Heading1"/>
        <w:spacing w:after="200" w:before="400"/>
      </w:pPr>
      <w:r>
        <w:rPr>
          <w:b/>
          <w:bCs/>
          <w:color w:val="1E2D54"/>
          <w:sz w:val="30"/>
          <w:szCs w:val="30"/>
        </w:rPr>
        <w:t xml:space="preserve">6. Post-Deployment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160"/>
        <w:gridCol w:w="700"/>
      </w:tblGrid>
      <w:tr>
        <w:trPr>
          <w:tblHeader/>
        </w:trPr>
        <w:tc>
          <w:tcPr>
            <w:tcW w:type="dxa" w:w="5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c>
          <w:tcPr>
            <w:tcW w:type="dxa" w:w="816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left"/>
            </w:pPr>
            <w:r>
              <w:rPr>
                <w:b/>
                <w:bCs/>
                <w:i w:val="false"/>
                <w:iCs w:val="false"/>
                <w:color w:val="FFFFFF"/>
                <w:sz w:val="19"/>
                <w:szCs w:val="19"/>
              </w:rPr>
              <w:t xml:space="preserve">Action</w:t>
            </w:r>
          </w:p>
        </w:tc>
        <w:tc>
          <w:tcPr>
            <w:tcW w:type="dxa" w:w="700"/>
            <w:tcBorders>
              <w:top w:val="single" w:color="CCCCCC" w:sz="4"/>
              <w:left w:val="single" w:color="CCCCCC" w:sz="4"/>
              <w:bottom w:val="single" w:color="CCCCCC" w:sz="4"/>
              <w:right w:val="single" w:color="CCCCCC" w:sz="4"/>
            </w:tcBorders>
            <w:shd w:fill="1E2D54" w:val="clear"/>
            <w:tcMar>
              <w:top w:type="dxa" w:w="60"/>
              <w:left w:type="dxa" w:w="100"/>
              <w:bottom w:type="dxa" w:w="60"/>
              <w:right w:type="dxa" w:w="100"/>
            </w:tcMar>
          </w:tcPr>
          <w:p>
            <w:pPr>
              <w:jc w:val="center"/>
            </w:pPr>
            <w:r>
              <w:rPr>
                <w:b/>
                <w:bCs/>
                <w:i w:val="false"/>
                <w:iCs w:val="false"/>
                <w:color w:val="FFFFFF"/>
                <w:sz w:val="19"/>
                <w:szCs w:val="19"/>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1</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Verify Project Config status: “Config loaded: &lt;Site Name&gt;”</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2</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Verify “Merge Site Config” status: “Config synced: &lt;Site Name&gt;” (green, not yellow fallback). Yellow means the HTTP fetch came back non-200 or empty — 401 points at a wrong or missing anon key, "200 []" at a site_id that matches no monitoring.sites row</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3</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Verify Energy Data node status updates every few seconds with live PV / Load / SOC / Batt values</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4</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Click Manual Daily Inject — verify Handle HTTP Response shows “✓ Manual snapshot — no reset”</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5</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Check Supabase → monitoring.energy_daily: new MANUAL row with correct site_id, data, and dump_type = MANUAL</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6</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Check Supabase → monitoring.daily_health: a matching row appears automatically within a second or two (the Postgres trigger computes it — no separate action needed)</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7</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Check Supabase → monitoring.flow_logs: HTTP_RESPONSE row with isDailySummary=true, isManual=true, willReset=false</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8</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Check Google Sheets → DailySummary tab: new row with TEST_DAILY_SUMMARY event and correct site column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9</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Check Google Sheets → AlarmEvents, GridLost, ACInput, DailyHealth tabs exist and are writable</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10</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Check Supabase → monitoring.fleet_summary view: site appears with today's data</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11</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Wait for MPPT Snapshot (fires 30s after deploy, then every 15 min): check Supabase → monitoring.mppt_snapshots</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12</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Wait for Auto Daily Inject at 23:55: verify AUTO row in both Sheets and Supabase → monitoring.energy_daily</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13</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Verify Handle HTTP Response shows “✓ Confirmed + counters reset” after AUTO inject</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14</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Check Supabase → monitoring.flow_logs: HTTP_RESPONSE row with isDailySummary=true, willReset=true, dump_type=AUTO</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15</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Check Supabase → monitoring.daily_health: AUTO row present with a plausible health_score and health_status</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16</w:t>
            </w:r>
          </w:p>
        </w:tc>
        <w:tc>
          <w:tcPr>
            <w:tcW w:type="dxa" w:w="81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left"/>
            </w:pPr>
            <w:r>
              <w:rPr>
                <w:b w:val="false"/>
                <w:bCs w:val="false"/>
                <w:i w:val="false"/>
                <w:iCs w:val="false"/>
                <w:color w:val="000000"/>
                <w:sz w:val="20"/>
                <w:szCs w:val="20"/>
              </w:rPr>
              <w:t xml:space="preserve">Run SELECT monitoring.get_report_email('&lt;site-slug&gt;') — it must return the customer's address. NULL means client_id was never linked (Section 1.1) and the weekly report will go to the internal fallback address</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r>
        <w:tc>
          <w:tcPr>
            <w:tcW w:type="dxa" w:w="5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17</w:t>
            </w:r>
          </w:p>
        </w:tc>
        <w:tc>
          <w:tcPr>
            <w:tcW w:type="dxa" w:w="81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b w:val="false"/>
                <w:bCs w:val="false"/>
                <w:i w:val="false"/>
                <w:iCs w:val="false"/>
                <w:color w:val="000000"/>
                <w:sz w:val="20"/>
                <w:szCs w:val="20"/>
              </w:rPr>
              <w:t xml:space="preserve">Confirm monitoring.sites.system_type matches the installation — it defaults to 'hybrid', so an off-grid site left at the default gets grid-dependence and outage cards in its report that don't apply</w:t>
            </w:r>
          </w:p>
        </w:tc>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b w:val="false"/>
                <w:bCs w:val="false"/>
                <w:i w:val="false"/>
                <w:iCs w:val="false"/>
                <w:color w:val="000000"/>
                <w:sz w:val="20"/>
                <w:szCs w:val="20"/>
              </w:rPr>
              <w:t xml:space="preserve">☐</w:t>
            </w:r>
          </w:p>
        </w:tc>
      </w:tr>
    </w:tbl>
    <w:p>
      <w:pPr>
        <w:spacing w:after="100" w:before="100"/>
      </w:pPr>
    </w:p>
    <w:p>
      <w:pPr>
        <w:pBdr>
          <w:top w:val="single" w:color="CCCCCC" w:sz="6" w:space="8"/>
        </w:pBdr>
        <w:spacing w:before="200"/>
        <w:jc w:val="center"/>
      </w:pPr>
      <w:r>
        <w:rPr>
          <w:i/>
          <w:iCs/>
          <w:color w:val="999999"/>
          <w:sz w:val="17"/>
          <w:szCs w:val="17"/>
        </w:rPr>
        <w:t xml:space="preserve">Pauly y Compañía  |  Victron Monitor  |  DB-driven config (migrations 006–011)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2026-07-16T23:38:34.189Z</dcterms:created>
  <dcterms:modified xsi:type="dcterms:W3CDTF">2026-07-16T23:38:34.189Z</dcterms:modified>
</cp:coreProperties>
</file>

<file path=docProps/custom.xml><?xml version="1.0" encoding="utf-8"?>
<Properties xmlns="http://schemas.openxmlformats.org/officeDocument/2006/custom-properties" xmlns:vt="http://schemas.openxmlformats.org/officeDocument/2006/docPropsVTypes"/>
</file>