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TABLEAU DE DISTRIBUTION DES PARTS SOCIALES</w:t>
      </w:r>
    </w:p>
    <w:p>
      <w:r>
        <w:rPr>
          <w:b/>
        </w:rPr>
        <w:t>Opays Tech SARL</w:t>
      </w:r>
    </w:p>
    <w:p>
      <w:r>
        <w:t>Société à Responsabilité Limitée en cours de constitution</w:t>
      </w:r>
    </w:p>
    <w:p>
      <w:r>
        <w:t>Siège social : Butembo, Province du Nord-Kivu, République Démocratique du Congo</w:t>
      </w:r>
    </w:p>
    <w:p>
      <w:r>
        <w:t>---</w:t>
      </w:r>
    </w:p>
    <w:p>
      <w:pPr>
        <w:pStyle w:val="Heading2"/>
      </w:pPr>
      <w:r>
        <w:t>Montage capital et répartition validée par les associés</w:t>
      </w:r>
    </w:p>
    <w:p>
      <w:r>
        <w:t>---</w:t>
      </w:r>
    </w:p>
    <w:p>
      <w:pPr>
        <w:pStyle w:val="Heading2"/>
      </w:pPr>
      <w:r>
        <w:t>Détails par associé</w:t>
      </w:r>
    </w:p>
    <w:p>
      <w:pPr>
        <w:pStyle w:val="Heading3"/>
      </w:pPr>
      <w:r>
        <w:t>Fénelon Lamsasiri</w:t>
      </w:r>
    </w:p>
    <w:p>
      <w:pPr>
        <w:pStyle w:val="ListBullet"/>
      </w:pPr>
      <w:r>
        <w:t>Apport en numéraire : USD 60,00</w:t>
      </w:r>
    </w:p>
    <w:p>
      <w:pPr>
        <w:pStyle w:val="ListBullet"/>
      </w:pPr>
      <w:r>
        <w:t>Parts personnelles acquises : 53 parts (USD 159,00)</w:t>
      </w:r>
    </w:p>
    <w:p>
      <w:pPr>
        <w:pStyle w:val="ListBullet"/>
      </w:pPr>
      <w:r>
        <w:t>Pourcentage personnel : 53 %</w:t>
      </w:r>
    </w:p>
    <w:p>
      <w:pPr>
        <w:pStyle w:val="ListBullet"/>
      </w:pPr>
      <w:r>
        <w:t>Parts supplémentaires portées provisoirement au titre de la réserve d'options : 5 parts (5 %)</w:t>
      </w:r>
    </w:p>
    <w:p>
      <w:pPr>
        <w:pStyle w:val="ListBullet"/>
      </w:pPr>
      <w:r>
        <w:t>Total d'actions inscrites provisoirement à son nom : 58 parts (58 %)</w:t>
      </w:r>
    </w:p>
    <w:p>
      <w:pPr>
        <w:pStyle w:val="ListBullet"/>
      </w:pPr>
      <w:r>
        <w:t>**Dont réserve non-attribuable à titre personnel : 5 parts**</w:t>
      </w:r>
    </w:p>
    <w:p>
      <w:pPr>
        <w:pStyle w:val="Heading3"/>
      </w:pPr>
      <w:r>
        <w:t>Prince Bagheni</w:t>
      </w:r>
    </w:p>
    <w:p>
      <w:pPr>
        <w:pStyle w:val="ListBullet"/>
      </w:pPr>
      <w:r>
        <w:t>Apport en numéraire : USD 60,00</w:t>
      </w:r>
    </w:p>
    <w:p>
      <w:pPr>
        <w:pStyle w:val="ListBullet"/>
      </w:pPr>
      <w:r>
        <w:t>Parts acquises : 23 parts (USD 69,00)</w:t>
      </w:r>
    </w:p>
    <w:p>
      <w:pPr>
        <w:pStyle w:val="ListBullet"/>
      </w:pPr>
      <w:r>
        <w:t>Pourcentage : 23 %</w:t>
      </w:r>
    </w:p>
    <w:p>
      <w:pPr>
        <w:pStyle w:val="Heading3"/>
      </w:pPr>
      <w:r>
        <w:t>Patricia Zamwana</w:t>
      </w:r>
    </w:p>
    <w:p>
      <w:pPr>
        <w:pStyle w:val="ListBullet"/>
      </w:pPr>
      <w:r>
        <w:t>Apport en numéraire : USD 60,00</w:t>
      </w:r>
    </w:p>
    <w:p>
      <w:pPr>
        <w:pStyle w:val="ListBullet"/>
      </w:pPr>
      <w:r>
        <w:t>Parts acquises : 8 parts (USD 24,00)</w:t>
      </w:r>
    </w:p>
    <w:p>
      <w:pPr>
        <w:pStyle w:val="ListBullet"/>
      </w:pPr>
      <w:r>
        <w:t>Pourcentage : 8 %</w:t>
      </w:r>
    </w:p>
    <w:p>
      <w:pPr>
        <w:pStyle w:val="Heading3"/>
      </w:pPr>
      <w:r>
        <w:t>Zaina Bwale Godlove</w:t>
      </w:r>
    </w:p>
    <w:p>
      <w:pPr>
        <w:pStyle w:val="ListBullet"/>
      </w:pPr>
      <w:r>
        <w:t>Apport en numéraire : USD 60,00</w:t>
      </w:r>
    </w:p>
    <w:p>
      <w:pPr>
        <w:pStyle w:val="ListBullet"/>
      </w:pPr>
      <w:r>
        <w:t>Parts acquises : 8 parts (USD 24,00)</w:t>
      </w:r>
    </w:p>
    <w:p>
      <w:pPr>
        <w:pStyle w:val="ListBullet"/>
      </w:pPr>
      <w:r>
        <w:t>Pourcentage : 8 %</w:t>
      </w:r>
    </w:p>
    <w:p>
      <w:pPr>
        <w:pStyle w:val="Heading3"/>
      </w:pPr>
      <w:r>
        <w:t>Mosengo Kihambambuka</w:t>
      </w:r>
    </w:p>
    <w:p>
      <w:pPr>
        <w:pStyle w:val="ListBullet"/>
      </w:pPr>
      <w:r>
        <w:t>Apport en numéraire : USD 60,00</w:t>
      </w:r>
    </w:p>
    <w:p>
      <w:pPr>
        <w:pStyle w:val="ListBullet"/>
      </w:pPr>
      <w:r>
        <w:t>Parts acquises : 3 parts (USD 9,00)</w:t>
      </w:r>
    </w:p>
    <w:p>
      <w:pPr>
        <w:pStyle w:val="ListBullet"/>
      </w:pPr>
      <w:r>
        <w:t>Pourcentage : 3 %</w:t>
      </w:r>
    </w:p>
    <w:p>
      <w:pPr>
        <w:pStyle w:val="Heading3"/>
      </w:pPr>
      <w:r>
        <w:t>Réserve d'options (Option Pool)</w:t>
      </w:r>
    </w:p>
    <w:p>
      <w:pPr>
        <w:pStyle w:val="ListBullet"/>
      </w:pPr>
      <w:r>
        <w:t>Parts réservées : 5 parts (USD 15,00)</w:t>
      </w:r>
    </w:p>
    <w:p>
      <w:pPr>
        <w:pStyle w:val="ListBullet"/>
      </w:pPr>
      <w:r>
        <w:t>Pourcentage : 5 %</w:t>
      </w:r>
    </w:p>
    <w:p>
      <w:pPr>
        <w:pStyle w:val="ListBullet"/>
      </w:pPr>
      <w:r>
        <w:t>Modalité : portées provisoirement par Fénelon Lamsasiri jusqu'à attribution définitive, sans droit de vote ni droit aux bénéfices attachés à titre personnel.</w:t>
      </w:r>
    </w:p>
    <w:p>
      <w:r>
        <w:t>---</w:t>
      </w:r>
    </w:p>
    <w:p>
      <w:pPr>
        <w:pStyle w:val="Heading2"/>
      </w:pPr>
      <w:r>
        <w:t>Vérification de l'équilibre</w:t>
      </w:r>
    </w:p>
    <w:p>
      <w:pPr>
        <w:pStyle w:val="ListBullet"/>
      </w:pPr>
      <w:r>
        <w:t>Somme des apports en numéraire : USD 60,00 × 5 = **USD 300,00**</w:t>
      </w:r>
    </w:p>
    <w:p>
      <w:pPr>
        <w:pStyle w:val="ListBullet"/>
      </w:pPr>
      <w:r>
        <w:t>Montant du capital social statutaire : **USD 300,00**</w:t>
      </w:r>
    </w:p>
    <w:p>
      <w:pPr>
        <w:pStyle w:val="ListBullet"/>
      </w:pPr>
      <w:r>
        <w:t>Total des parts : **100 parts**</w:t>
      </w:r>
    </w:p>
    <w:p>
      <w:pPr>
        <w:pStyle w:val="ListBullet"/>
      </w:pPr>
      <w:r>
        <w:t>Valeur nominale unitaire : **USD 3,00**</w:t>
      </w:r>
    </w:p>
    <w:p>
      <w:pPr>
        <w:pStyle w:val="ListBullet"/>
      </w:pPr>
      <w:r>
        <w:t>Valeur totale des parts : 100 × USD 3,00 = **USD 300,00**</w:t>
      </w:r>
    </w:p>
    <w:p>
      <w:pPr>
        <w:pStyle w:val="ListBullet"/>
      </w:pPr>
      <w:r>
        <w:t>Total des pourcentages : 53 % + 23 % + 8 % + 8 % + 3 % + 5 % = **100 %**</w:t>
      </w:r>
    </w:p>
    <w:p>
      <w:r>
        <w:rPr>
          <w:b/>
        </w:rPr>
        <w:t>Conclusion : la répartition est équilibrée et conforme au capital social déclaré.</w:t>
      </w:r>
    </w:p>
    <w:p>
      <w:r>
        <w:t>---</w:t>
      </w:r>
    </w:p>
    <w:p>
      <w:pPr>
        <w:pStyle w:val="Heading2"/>
      </w:pPr>
      <w:r>
        <w:t>Mécanisme juridique retenu</w:t>
      </w:r>
    </w:p>
    <w:p>
      <w:r>
        <w:t>La disproportion entre apports et parts finales est matérialisée par des **cessions gratuites conventionnelles** de parts entre associés, consenties dès l'acte constitutif. Les parts sont intégralement libérées par des apports en numéraire, conformément à l'article 309 de l'Acte Uniforme OHADA relatif au droit des sociétés commerciales et du GIE du 30 janvier 2014.</w:t>
      </w:r>
    </w:p>
    <w:p>
      <w:r>
        <w:t>Le Sweat Equity (parts acquises par le travail) fera l'objet :</w:t>
      </w:r>
    </w:p>
    <w:p>
      <w:pPr>
        <w:pStyle w:val="ListBullet"/>
      </w:pPr>
      <w:r>
        <w:t>d'un **engagement moral** dans le présent tableau et le règlement d'ordre intérieur ;</w:t>
      </w:r>
    </w:p>
    <w:p>
      <w:pPr>
        <w:pStyle w:val="ListBullet"/>
      </w:pPr>
      <w:r>
        <w:t>d'un **mécanisme de vesting de deux (2) ans avec cliff d'un (1) an**, formalisé dans un pacte d'associés complémentaire ou, à défaut, dans le règlement d'ordre intérieur à titre indicatif.</w:t>
      </w:r>
    </w:p>
    <w:p>
      <w:r>
        <w:t>---</w:t>
      </w:r>
    </w:p>
    <w:p>
      <w:pPr>
        <w:pStyle w:val="Heading2"/>
      </w:pPr>
      <w:r>
        <w:t>Date d'effet</w:t>
      </w:r>
    </w:p>
    <w:p>
      <w:r>
        <w:t>La présente distribution des parts sociales prend effet à la date de signature des statuts de la société, soit le **[insérer la date]**, sous réserve :</w:t>
      </w:r>
    </w:p>
    <w:p>
      <w:pPr>
        <w:pStyle w:val="ListBullet"/>
      </w:pPr>
      <w:r>
        <w:t>de la libération intégrale des apports en numéraire de USD 60,00 par associé ;</w:t>
      </w:r>
    </w:p>
    <w:p>
      <w:pPr>
        <w:pStyle w:val="ListBullet"/>
      </w:pPr>
      <w:r>
        <w:t>de la validation juridique des statuts par un professionnel du droit ;</w:t>
      </w:r>
    </w:p>
    <w:p>
      <w:pPr>
        <w:pStyle w:val="ListBullet"/>
      </w:pPr>
      <w:r>
        <w:t>du dépôt du dossier de constitution au GUCE et de l'immatriculation au RCCM.</w:t>
      </w:r>
    </w:p>
    <w:p>
      <w:r>
        <w:t>---</w:t>
      </w:r>
    </w:p>
    <w:p>
      <w:pPr>
        <w:pStyle w:val="Heading2"/>
      </w:pPr>
      <w:r>
        <w:t>Mise à jour</w:t>
      </w:r>
    </w:p>
    <w:p>
      <w:r>
        <w:t>Le présent tableau est un document de référence unique. Il doit être actualisé à chaque mouvement de titres : augmentation de capital, cession de parts, transmission, rachat, attribution de la réserve d'options, décès d'un associé ou toute autre modification de la répartition du capital. Toute mise à jour fera l'objet d'une décision collective de l'assemblée générale dans les conditions prévues par les statuts.</w:t>
      </w:r>
    </w:p>
    <w:p>
      <w:r>
        <w:t>---</w:t>
      </w:r>
    </w:p>
    <w:p>
      <w:pPr>
        <w:pStyle w:val="Heading2"/>
      </w:pPr>
      <w:r>
        <w:t>Acceptation collective</w:t>
      </w:r>
    </w:p>
    <w:p>
      <w:r>
        <w:t>Les soussignés reconnaissent la présente distribution, la cohérence de ses chiffres avec le capital social de USD 300,00 et le nombre total de 100 parts, et l'utilisent comme base de rédaction des statuts.</w:t>
      </w:r>
    </w:p>
    <w:p>
      <w:r>
        <w:t>Fait à Butembo, le **[insérer la date]**, en autant d'exemplaires originaux qu'il y a d'associés, plus un exemplaire pour les archives de la société.</w:t>
      </w:r>
    </w:p>
    <w:p>
      <w:r>
        <w:t>---</w:t>
      </w:r>
    </w:p>
    <w:p>
      <w:r>
        <w:t>---</w:t>
      </w:r>
    </w:p>
    <w:p>
      <w:r>
        <w:t>*Le présent document est un projet. Il doit impérativement être soumis à un professionnel du droit (notaire ou avocat) agréé en RDC avant toute signature définitive ou dépôt au GUCE. La réserve d'options et les clauses de vesting nécessitent une relecture juridique attentive.*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