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PACTE D'ASSOCIÉS</w:t>
      </w:r>
    </w:p>
    <w:p>
      <w:r>
        <w:rPr>
          <w:b/>
        </w:rPr>
        <w:t>Opays Tech SARL</w:t>
      </w:r>
    </w:p>
    <w:p>
      <w:r>
        <w:t>Société à Responsabilité Limitée en cours de constitution</w:t>
      </w:r>
    </w:p>
    <w:p>
      <w:r>
        <w:t>Siège social : Butembo, Province du Nord-Kivu, République Démocratique du Congo</w:t>
      </w:r>
    </w:p>
    <w:p>
      <w:r>
        <w:t>---</w:t>
      </w:r>
    </w:p>
    <w:p>
      <w:pPr>
        <w:pStyle w:val="Heading2"/>
      </w:pPr>
      <w:r>
        <w:t>PRÉAMBULE</w:t>
      </w:r>
    </w:p>
    <w:p>
      <w:r>
        <w:t>Le présent pacte d'associés (ci-après « le Pacte ») est conclu entre :</w:t>
      </w:r>
    </w:p>
    <w:p>
      <w:r>
        <w:t>1. **Fénelon Lamsasiri**, ci-après « Fénelon » ;</w:t>
      </w:r>
    </w:p>
    <w:p>
      <w:r>
        <w:t>2. **Prince Bagheni**, ci-après « Prince » ;</w:t>
      </w:r>
    </w:p>
    <w:p>
      <w:r>
        <w:t>3. **Patricia Zamwana**, ci-après « Patricia » ;</w:t>
      </w:r>
    </w:p>
    <w:p>
      <w:r>
        <w:t>4. **Zaina Bwale Godlove**, ci-après « Zaina » ;</w:t>
      </w:r>
    </w:p>
    <w:p>
      <w:r>
        <w:t>5. **Mosengo Kihambambuka**, ci-après « Mosengo ».</w:t>
      </w:r>
    </w:p>
    <w:p>
      <w:r>
        <w:t>Ces cinq personnes sont ci-après désignées individuellement « un Associé » ou collectivement « les Associés ».</w:t>
      </w:r>
    </w:p>
    <w:p>
      <w:r>
        <w:t>Les Associés sont en passe de constituer la société **Opays Tech SARL**, société à responsabilité limitée de droit OHADA, dont le siège social est situé à Butembo, Province du Nord-Kivu, République Démocratique du Congo (ci-après « la Société »).</w:t>
      </w:r>
    </w:p>
    <w:p>
      <w:r>
        <w:t>Les statuts de la Société, signés ou à signer conjointement au présent Pacte, prévoient :</w:t>
      </w:r>
    </w:p>
    <w:p>
      <w:pPr>
        <w:pStyle w:val="ListBullet"/>
      </w:pPr>
      <w:r>
        <w:t>un capital social de **USD 300,00**, divisé en **100 parts sociales** de **USD 3,00** de valeur nominale ;</w:t>
      </w:r>
    </w:p>
    <w:p>
      <w:pPr>
        <w:pStyle w:val="ListBullet"/>
      </w:pPr>
      <w:r>
        <w:t>une répartition disproportionnée des parts matérialisant des engagements de Sweat Equity ;</w:t>
      </w:r>
    </w:p>
    <w:p>
      <w:pPr>
        <w:pStyle w:val="ListBullet"/>
      </w:pPr>
      <w:r>
        <w:t>la nomination de Fénelon en qualité de gérant unique.</w:t>
      </w:r>
    </w:p>
    <w:p>
      <w:r>
        <w:t>Le présent Pacte a pour objet de compléter les statuts en précisant les obligations réciproques des Associés, les règles de gouvernance renforcées, les mécanismes de vesting, de sortie et de résolution des conflits.</w:t>
      </w:r>
    </w:p>
    <w:p>
      <w:r>
        <w:rPr>
          <w:b/>
        </w:rPr>
        <w:t>Le présent Pacte est subordonné aux statuts de la Société. En cas de contradiction entre le Pacte et les statuts, ce sont les statuts qui prévalent.</w:t>
      </w:r>
    </w:p>
    <w:p>
      <w:r>
        <w:t>---</w:t>
      </w:r>
    </w:p>
    <w:p>
      <w:pPr>
        <w:pStyle w:val="Heading2"/>
      </w:pPr>
      <w:r>
        <w:t>TITRE I — DÉFINITIONS</w:t>
      </w:r>
    </w:p>
    <w:p>
      <w:r>
        <w:t>**Sweat Equity** : désigne la partie de la participation au capital d'un Associé qui excède la part strictement correspondante à son apport en numéraire de USD 60,00, c'est-à-dire 20 parts (20 %).</w:t>
      </w:r>
    </w:p>
    <w:p>
      <w:r>
        <w:t>**Vesting** : mécanisme d'acquisition progressive dans le temps des droits attachés aux parts de Sweat Equity.</w:t>
      </w:r>
    </w:p>
    <w:p>
      <w:r>
        <w:t>**Cliff** : période initiale pendant laquelle aucune part de Sweat Equity n'est définitivement acquise.</w:t>
      </w:r>
    </w:p>
    <w:p>
      <w:r>
        <w:t>**Option Pool** : réserve de 5 parts sociales (5 % du capital) destinée à l'attribution future de collaborateurs ou associés.</w:t>
      </w:r>
    </w:p>
    <w:p>
      <w:r>
        <w:t>**Good Leaver** : Associé dont le départ résulte d'une incapacité, d'un décès, d'une invalidité, d'une faute lourde de la Société, ou d'un accord amiable entre les Associés.</w:t>
      </w:r>
    </w:p>
    <w:p>
      <w:r>
        <w:t>**Bad Leaver** : Associé dont le départ résulte d'une démission, d'un licenciement pour faute grave ou lourde, d'une violation grave du présent Pacte ou des statuts, ou de tout autre fait imputable à l'Associé.</w:t>
      </w:r>
    </w:p>
    <w:p>
      <w:r>
        <w:t>---</w:t>
      </w:r>
    </w:p>
    <w:p>
      <w:pPr>
        <w:pStyle w:val="Heading2"/>
      </w:pPr>
      <w:r>
        <w:t>TITRE II — RAPPEL DE LA RÉPARTITION DU CAPITAL</w:t>
      </w:r>
    </w:p>
    <w:p>
      <w:r>
        <w:t>---</w:t>
      </w:r>
    </w:p>
    <w:p>
      <w:pPr>
        <w:pStyle w:val="Heading2"/>
      </w:pPr>
      <w:r>
        <w:t>TITRE III — SWEAT EQUITY ET VESTING</w:t>
      </w:r>
    </w:p>
    <w:p>
      <w:r>
        <w:rPr>
          <w:b/>
        </w:rPr>
        <w:t>Article 1 — Principe</w:t>
      </w:r>
    </w:p>
    <w:p>
      <w:r>
        <w:t>Les parts détenues par chaque Associé au-delà de 20 parts correspondent à un Sweat Equity attribué en compensation de l'engagement opérationnel, stratégique et commercial de l'Associé dans le développement de la Société.</w:t>
      </w:r>
    </w:p>
    <w:p>
      <w:r>
        <w:rPr>
          <w:b/>
        </w:rPr>
        <w:t>Article 2 — Plan de vesting</w:t>
      </w:r>
    </w:p>
    <w:p>
      <w:r>
        <w:t>Les parts de Sweat Equity sont soumises aux conditions de vesting suivantes, à compter de la date d'immatriculation de la Société au RCCM (ci-après la « Date de Départ ») :</w:t>
      </w:r>
    </w:p>
    <w:p>
      <w:pPr>
        <w:pStyle w:val="ListBullet"/>
      </w:pPr>
      <w:r>
        <w:t>**Cliff d'un (1) an** : aucune part de Sweat Equity n'est définitivement acquise avant le premier anniversaire de la Date de Départ ;</w:t>
      </w:r>
    </w:p>
    <w:p>
      <w:pPr>
        <w:pStyle w:val="ListBullet"/>
      </w:pPr>
      <w:r>
        <w:t>**Vesting linéaire mensuel** : après le cliff, l'Associé acquiert définitivement ses parts de Sweat Equity au rythme de **1/24e par mois** pendant les vingt-quatre (24) mois suivant la Date de Départ, soit un acquis total au bout de 36 mois (12 mois de cliff + 24 mois de vesting linéaire).</w:t>
      </w:r>
    </w:p>
    <w:p>
      <w:r>
        <w:rPr>
          <w:b/>
        </w:rPr>
        <w:t>Article 3 — Effet du vesting</w:t>
      </w:r>
    </w:p>
    <w:p>
      <w:r>
        <w:t>Les parts définitivement acquises au titre du vesting deviennent la pleine propriété de l'Associé et cessent d'être soumises aux conditions du présent Pacte.</w:t>
      </w:r>
    </w:p>
    <w:p>
      <w:r>
        <w:t>Les parts non encore acquises au moment du départ d'un Associé sont automatiquement remises à la disposition de la Société ou de l'Option Pool, selon la décision de l'assemblée générale.</w:t>
      </w:r>
    </w:p>
    <w:p>
      <w:r>
        <w:rPr>
          <w:b/>
        </w:rPr>
        <w:t>Article 4 — Modalités pratiques de suivi</w:t>
      </w:r>
    </w:p>
    <w:p>
      <w:r>
        <w:t>Le gérant tient à jour un tableau de suivi du vesting. Un bilan annuel est présenté à l'assemblée générale ordinaire.</w:t>
      </w:r>
    </w:p>
    <w:p>
      <w:r>
        <w:t>---</w:t>
      </w:r>
    </w:p>
    <w:p>
      <w:pPr>
        <w:pStyle w:val="Heading2"/>
      </w:pPr>
      <w:r>
        <w:t>TITRE IV — RESTRICTIONS À LA CESSION DES PARTS</w:t>
      </w:r>
    </w:p>
    <w:p>
      <w:r>
        <w:rPr>
          <w:b/>
        </w:rPr>
        <w:t>Article 5 — Engagement de conservation</w:t>
      </w:r>
    </w:p>
    <w:p>
      <w:r>
        <w:t>Pendant la durée du vesting, chaque Associé s'engage à ne pas céder, transmettre, grever ou aliéner de quelque manière que ce soit ses parts du Sweat Equity non définitivement acquises sans l'accord préalable écrit des autres Associés.</w:t>
      </w:r>
    </w:p>
    <w:p>
      <w:r>
        <w:rPr>
          <w:b/>
        </w:rPr>
        <w:t>Article 6 — Cession à des tiers</w:t>
      </w:r>
    </w:p>
    <w:p>
      <w:r>
        <w:t>Toute cession de parts à un tiers, même partielle, est soumise aux conditions d'agrément et de préemption prévues aux statuts (articles 20 et 21 des statuts).</w:t>
      </w:r>
    </w:p>
    <w:p>
      <w:r>
        <w:t>En outre, les parts issues du Sweat Equity ne peuvent être cédées qu'après acquisition définitive au titre du vesting.</w:t>
      </w:r>
    </w:p>
    <w:p>
      <w:r>
        <w:rPr>
          <w:b/>
        </w:rPr>
        <w:t>Article 7 — Cession forcée en cas de départ</w:t>
      </w:r>
    </w:p>
    <w:p>
      <w:r>
        <w:t>En cas de départ d'un Associé, quelle qu'en soit la cause, ses parts sociales sont soumises aux mécanismes suivants :</w:t>
      </w:r>
    </w:p>
    <w:p>
      <w:pPr>
        <w:pStyle w:val="ListBullet"/>
      </w:pPr>
      <w:r>
        <w:t>**Good Leaver** : l'Associé conserve ses parts déjà acquises au titre du vesting et de son apport initial. Les parts non acquises sont remises à la Société ou à l'Option Pool. L'Associé peut être tenu de céder ses parts acquises aux autres Associés ou à un tiers agréé, aux conditions fixées par l'assemblée générale.</w:t>
      </w:r>
    </w:p>
    <w:p>
      <w:pPr>
        <w:pStyle w:val="ListBullet"/>
      </w:pPr>
      <w:r>
        <w:t>**Bad Leaver** : l'Associé perd l'intégralité des parts non acquises. L'assemblée générale peut en outre obliger l'Associé à céder ses parts acquises à prix raisonnable, dans les conditions fixées par l'assemblée générale à la majorité des deux tiers des parts représentées.</w:t>
      </w:r>
    </w:p>
    <w:p>
      <w:r>
        <w:t>---</w:t>
      </w:r>
    </w:p>
    <w:p>
      <w:pPr>
        <w:pStyle w:val="Heading2"/>
      </w:pPr>
      <w:r>
        <w:t>TITRE V — DROIT DE PRÉEMPTION RENFORCÉ ET TAG-ALONG / DRAG-ALONG</w:t>
      </w:r>
    </w:p>
    <w:p>
      <w:r>
        <w:rPr>
          <w:b/>
        </w:rPr>
        <w:t>Article 8 — Préemption renforcée</w:t>
      </w:r>
    </w:p>
    <w:p>
      <w:r>
        <w:t>En cas de cession envisagée de parts à un tiers, les Associés bénéficient d'un droit de préemption dans les conditions prévues aux statuts.</w:t>
      </w:r>
    </w:p>
    <w:p>
      <w:r>
        <w:t>Le présent Pacte précise que, si plusieurs Associés exercent leur droit de préemption, les parts sont réparties entre eux au prorata de leur participation au capital, sous réserve d'un accord contraire.</w:t>
      </w:r>
    </w:p>
    <w:p>
      <w:r>
        <w:rPr>
          <w:b/>
        </w:rPr>
        <w:t>Article 9 — Tag-along</w:t>
      </w:r>
    </w:p>
    <w:p>
      <w:r>
        <w:t>Si un ou plusieurs Associés décident de vendre plus de 10 % du capital à un tiers, les autres Associés ont le droit de participer à la cession dans la même proportion et aux mêmes conditions.</w:t>
      </w:r>
    </w:p>
    <w:p>
      <w:r>
        <w:rPr>
          <w:b/>
        </w:rPr>
        <w:t>Article 10 — Drag-along</w:t>
      </w:r>
    </w:p>
    <w:p>
      <w:r>
        <w:t>Si un ou plusieurs Associés détenant ensemble au moins 65 % du capital social acceptent une offre de vente de la totalité du capital ou de l'actif social à un tiers, ils peuvent obliger les autres Associés à céder leurs parts aux mêmes conditions.</w:t>
      </w:r>
    </w:p>
    <w:p>
      <w:r>
        <w:t>Les Associés minoritaires s'engagent par avance à signer tous les documents nécessaires pour donner effet à cette cession forcée.</w:t>
      </w:r>
    </w:p>
    <w:p>
      <w:r>
        <w:t>---</w:t>
      </w:r>
    </w:p>
    <w:p>
      <w:pPr>
        <w:pStyle w:val="Heading2"/>
      </w:pPr>
      <w:r>
        <w:t>TITRE VI — GOUVERNANCE RENFORCÉE</w:t>
      </w:r>
    </w:p>
    <w:p>
      <w:r>
        <w:rPr>
          <w:b/>
        </w:rPr>
        <w:t>Article 11 — Décisions réservées à l'unanimité des Associés</w:t>
      </w:r>
    </w:p>
    <w:p>
      <w:r>
        <w:t>Outre les décisions extraordinaires prévues aux statuts, les décisions suivantes nécessitent l'accord unanime des Associés :</w:t>
      </w:r>
    </w:p>
    <w:p>
      <w:r>
        <w:t>1. Modification substantielle de l'objet social ou de l'activité principale ;</w:t>
      </w:r>
    </w:p>
    <w:p>
      <w:r>
        <w:t>2. Cession de plus de 20 % du capital à un tiers ;</w:t>
      </w:r>
    </w:p>
    <w:p>
      <w:r>
        <w:t>3. Emprunt ou engagement financier supérieur à USD 5 000,00 ;</w:t>
      </w:r>
    </w:p>
    <w:p>
      <w:r>
        <w:t>4. Dépôts de bilan, dissolution volontaire, fusion ou scission ;</w:t>
      </w:r>
    </w:p>
    <w:p>
      <w:r>
        <w:t>5. Modification de la répartition des rôles opérationnels définis au règlement d'ordre intérieur, si elle entraîne un changement stratégique majeur.</w:t>
      </w:r>
    </w:p>
    <w:p>
      <w:r>
        <w:rPr>
          <w:b/>
        </w:rPr>
        <w:t>Article 12 — Information réciproque</w:t>
      </w:r>
    </w:p>
    <w:p>
      <w:r>
        <w:t>Chaque Associé reçoit, au moins une fois par trimestre, un rapport d'activité et une situation financière sommaire de la Société préparés par le gérant.</w:t>
      </w:r>
    </w:p>
    <w:p>
      <w:r>
        <w:t>Tout Associé peut, sur rendez-vous, consulter les livres de paie, les comptes bancaires et les contrats significatifs de la Société.</w:t>
      </w:r>
    </w:p>
    <w:p>
      <w:r>
        <w:t>---</w:t>
      </w:r>
    </w:p>
    <w:p>
      <w:pPr>
        <w:pStyle w:val="Heading2"/>
      </w:pPr>
      <w:r>
        <w:t>TITRE VII — OBLIGATIONS DES ASSOCIÉS</w:t>
      </w:r>
    </w:p>
    <w:p>
      <w:r>
        <w:rPr>
          <w:b/>
        </w:rPr>
        <w:t>Article 13 — Engagement moral et opérationnel</w:t>
      </w:r>
    </w:p>
    <w:p>
      <w:r>
        <w:t>Chaque Associé s'engage à consacrer à la Société, selon ses compétences et sa disponibilité, les moyens nécessaires à son développement, dans le cadre des rôles définis au règlement d'ordre intérieur.</w:t>
      </w:r>
    </w:p>
    <w:p>
      <w:r>
        <w:t>Cet engagement ne constitue pas un contrat de travail, sauf convention écrite contraire.</w:t>
      </w:r>
    </w:p>
    <w:p>
      <w:r>
        <w:rPr>
          <w:b/>
        </w:rPr>
        <w:t>Article 14 — Non-concurrence</w:t>
      </w:r>
    </w:p>
    <w:p>
      <w:r>
        <w:t>Pendant la durée de l'association et pendant une période de **deux (2) ans** suivant le départ d'un Associé, celui-ci s'interdit :</w:t>
      </w:r>
    </w:p>
    <w:p>
      <w:pPr>
        <w:pStyle w:val="ListBullet"/>
      </w:pPr>
      <w:r>
        <w:t>de participer, directement ou indirectement, à une activité concurrente de celle de la Société en République Démocratique du Congo ;</w:t>
      </w:r>
    </w:p>
    <w:p>
      <w:pPr>
        <w:pStyle w:val="ListBullet"/>
      </w:pPr>
      <w:r>
        <w:t>de détourner ou tenter de détourner les clients, fournisseurs, partenaires ou collaborateurs de la Société.</w:t>
      </w:r>
    </w:p>
    <w:p>
      <w:r>
        <w:rPr>
          <w:b/>
        </w:rPr>
        <w:t>Article 15 — Confidentialité</w:t>
      </w:r>
    </w:p>
    <w:p>
      <w:r>
        <w:t>Les Associés sont tenus par une obligation de confidentialité strictement identique à celle prévue au règlement d'ordre intérieur. Cette obligation demeure après le départ de l'Associé pendant une durée de cinq (5) ans.</w:t>
      </w:r>
    </w:p>
    <w:p>
      <w:r>
        <w:t>---</w:t>
      </w:r>
    </w:p>
    <w:p>
      <w:pPr>
        <w:pStyle w:val="Heading2"/>
      </w:pPr>
      <w:r>
        <w:t>TITRE VIII — SORTIE D'UN ASSOCIÉ ET RACHAT DE PARTS</w:t>
      </w:r>
    </w:p>
    <w:p>
      <w:r>
        <w:rPr>
          <w:b/>
        </w:rPr>
        <w:t>Article 16 — Sortie volontaire</w:t>
      </w:r>
    </w:p>
    <w:p>
      <w:r>
        <w:t>Tout Associé souhaitant se retirer de la Société doit notifier son intention par écrit au gérant avec un préavis de **six (6) mois**.</w:t>
      </w:r>
    </w:p>
    <w:p>
      <w:r>
        <w:t>Pendant ce préavis, les parties recherchent une solution amiable pour le rachat des parts par la Société, par les autres Associés ou par un tiers agréé.</w:t>
      </w:r>
    </w:p>
    <w:p>
      <w:r>
        <w:rPr>
          <w:b/>
        </w:rPr>
        <w:t>Article 17 — Prix de cession en cas de rachat</w:t>
      </w:r>
    </w:p>
    <w:p>
      <w:r>
        <w:t>À défaut d'accord amiable sur le prix, celui-ci est déterminé par un expert-comptable ou un évaluateur indépendant désigné d'un commun accord par les parties, ou, à défaut d'accord, par ordonnance du président du tribunal compétent.</w:t>
      </w:r>
    </w:p>
    <w:p>
      <w:r>
        <w:rPr>
          <w:b/>
        </w:rPr>
        <w:t>Article 18 — Décès d'un Associé</w:t>
      </w:r>
    </w:p>
    <w:p>
      <w:r>
        <w:t>En cas de décès d'un Associé, ses héritiers ou ayants droit sont soumis au présent Pacte. L'assemblée générale statue dans un délai de cent vingt (120) jours sur le maintien des parts ou leur rachat par la Société ou les autres Associés.</w:t>
      </w:r>
    </w:p>
    <w:p>
      <w:r>
        <w:t>---</w:t>
      </w:r>
    </w:p>
    <w:p>
      <w:pPr>
        <w:pStyle w:val="Heading2"/>
      </w:pPr>
      <w:r>
        <w:t>TITRE IX — RÈGLEMENT DES DIFFÉRENDS</w:t>
      </w:r>
    </w:p>
    <w:p>
      <w:r>
        <w:rPr>
          <w:b/>
        </w:rPr>
        <w:t>Article 19 — Négociation amiable</w:t>
      </w:r>
    </w:p>
    <w:p>
      <w:r>
        <w:t>En cas de différend entre Associés relatif à l'interprétation ou à l'exécution du présent Pacte, les parties s'engagent à rechercher une solution amiable pendant une période de trente (30) jours.</w:t>
      </w:r>
    </w:p>
    <w:p>
      <w:r>
        <w:rPr>
          <w:b/>
        </w:rPr>
        <w:t>Article 20 — Médiation</w:t>
      </w:r>
    </w:p>
    <w:p>
      <w:r>
        <w:t>À défaut de règlement amiable, le différend est soumis à une médiation conduite par un médiateur professionnel. Les frais sont supportés par la Société ou, si le médiateur en décide autrement, par la partie perdante.</w:t>
      </w:r>
    </w:p>
    <w:p>
      <w:r>
        <w:rPr>
          <w:b/>
        </w:rPr>
        <w:t>Article 21 — Juridiction compétente</w:t>
      </w:r>
    </w:p>
    <w:p>
      <w:r>
        <w:t>À défaut de règlement par la médiation, le litige est porté devant les juridictions compétentes du lieu du siège social de la Société, à savoir **Butembo, Province du Nord-Kivu, République Démocratique du Congo**.</w:t>
      </w:r>
    </w:p>
    <w:p>
      <w:r>
        <w:t>---</w:t>
      </w:r>
    </w:p>
    <w:p>
      <w:pPr>
        <w:pStyle w:val="Heading2"/>
      </w:pPr>
      <w:r>
        <w:t>TITRE X — DURÉE ET MODIFICATION DU PACTE</w:t>
      </w:r>
    </w:p>
    <w:p>
      <w:r>
        <w:rPr>
          <w:b/>
        </w:rPr>
        <w:t>Article 22 — Durée</w:t>
      </w:r>
    </w:p>
    <w:p>
      <w:r>
        <w:t>Le présent Pacte est conclu pour la durée de vie de la Société, sauf résiliation anticipée convenue par écrit entre tous les Associés.</w:t>
      </w:r>
    </w:p>
    <w:p>
      <w:r>
        <w:rPr>
          <w:b/>
        </w:rPr>
        <w:t>Article 23 — Modification</w:t>
      </w:r>
    </w:p>
    <w:p>
      <w:r>
        <w:t>Le présent Pacte ne peut être modifié que par accord unanime des Associés, constaté par avenant écrit signé par tous.</w:t>
      </w:r>
    </w:p>
    <w:p>
      <w:r>
        <w:rPr>
          <w:b/>
        </w:rPr>
        <w:t>Article 24 — Entrée en vigueur</w:t>
      </w:r>
    </w:p>
    <w:p>
      <w:r>
        <w:t>Le présent Pacte entre en vigueur à la date de signature par tous les Associés.</w:t>
      </w:r>
    </w:p>
    <w:p>
      <w:r>
        <w:t>---</w:t>
      </w:r>
    </w:p>
    <w:p>
      <w:r>
        <w:t>Fait à **Butembo**, le **[insérer la date]**</w:t>
      </w:r>
    </w:p>
    <w:p>
      <w:r>
        <w:t>En cinq (5) exemplaires originaux.</w:t>
      </w:r>
    </w:p>
    <w:p>
      <w:r>
        <w:t>---</w:t>
      </w:r>
    </w:p>
    <w:p>
      <w:r>
        <w:rPr>
          <w:b/>
        </w:rPr>
        <w:t>Signatures des Associés :</w:t>
      </w:r>
    </w:p>
    <w:p>
      <w:r>
        <w:t xml:space="preserve">1. ___________________________  </w:t>
      </w:r>
    </w:p>
    <w:p>
      <w:r>
        <w:t xml:space="preserve">   Fénelon Lamsasiri</w:t>
      </w:r>
    </w:p>
    <w:p>
      <w:r>
        <w:t xml:space="preserve">2. ___________________________  </w:t>
      </w:r>
    </w:p>
    <w:p>
      <w:r>
        <w:t xml:space="preserve">   Prince Bagheni</w:t>
      </w:r>
    </w:p>
    <w:p>
      <w:r>
        <w:t xml:space="preserve">3. ___________________________  </w:t>
      </w:r>
    </w:p>
    <w:p>
      <w:r>
        <w:t xml:space="preserve">   Patricia Zamwana</w:t>
      </w:r>
    </w:p>
    <w:p>
      <w:r>
        <w:t xml:space="preserve">4. ___________________________  </w:t>
      </w:r>
    </w:p>
    <w:p>
      <w:r>
        <w:t xml:space="preserve">   Zaina Bwale Godlove</w:t>
      </w:r>
    </w:p>
    <w:p>
      <w:r>
        <w:t xml:space="preserve">5. ___________________________  </w:t>
      </w:r>
    </w:p>
    <w:p>
      <w:r>
        <w:t xml:space="preserve">   Mosengo Kihambambuka</w:t>
      </w:r>
    </w:p>
    <w:p>
      <w:r>
        <w:t>---</w:t>
      </w:r>
    </w:p>
    <w:p>
      <w:pPr>
        <w:ind w:left="360"/>
      </w:pPr>
      <w:r>
        <w:t>**Disclaimer obligatoire :** Le présent pacte d'associés est un projet. Il doit impérativement être revu, adapté et validé par un notaire ou un avocat agréé en République Démocratique du Congo avant signature définitive. Les clauses de vesting, de cession forcée, de non-concurrence et de drag-along doivent être évaluées au regard du droit OHADA, du droit congolais et de la jurisprudence locale.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