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RÈGLEMENT D'ORDRE INTÉRIEUR</w:t>
      </w:r>
    </w:p>
    <w:p>
      <w:r>
        <w:rPr>
          <w:b/>
        </w:rPr>
        <w:t>Opays Tech SARL</w:t>
      </w:r>
    </w:p>
    <w:p>
      <w:r>
        <w:t>Siège social : Butembo, Province du Nord-Kivu, République Démocratique du Congo</w:t>
      </w:r>
    </w:p>
    <w:p>
      <w:r>
        <w:t>---</w:t>
      </w:r>
    </w:p>
    <w:p>
      <w:pPr>
        <w:pStyle w:val="Heading2"/>
      </w:pPr>
      <w:r>
        <w:t>PRÉAMBULE</w:t>
      </w:r>
    </w:p>
    <w:p>
      <w:r>
        <w:t>Le présent règlement d'ordre intérieur (ci-après « le Règlement ») a pour objet de compléter les statuts de **Opays Tech SARL** en précisant les modalités pratiques de fonctionnement de la société, la répartition opérationnelle des responsabilités entre associés et dirigeants, ainsi que les règles de gestion courante et de bonne conduite interne.</w:t>
      </w:r>
    </w:p>
    <w:p>
      <w:r>
        <w:t>Il est adopté par l'ensemble des associés fondateurs.</w:t>
      </w:r>
    </w:p>
    <w:p>
      <w:r>
        <w:t>**En cas de contradiction entre le présent Règlement et les statuts de la société, les statuts prévalent toujours.** Le présent Règlement ne contient aucune clause contraire aux statuts. Toute disposition du présent Règlement qui serait susceptible de heurter une disposition statutaire ou légale sera réputée non écrite et devra être modifiée dans les meilleurs délais.</w:t>
      </w:r>
    </w:p>
    <w:p>
      <w:r>
        <w:t>---</w:t>
      </w:r>
    </w:p>
    <w:p>
      <w:pPr>
        <w:pStyle w:val="Heading2"/>
      </w:pPr>
      <w:r>
        <w:t>TITRE I — ORGANES DE DÉCISION ET FONCTIONNEMENT PRATIQUE</w:t>
      </w:r>
    </w:p>
    <w:p>
      <w:r>
        <w:rPr>
          <w:b/>
        </w:rPr>
        <w:t>Article 1 — Organe de décision</w:t>
      </w:r>
    </w:p>
    <w:p>
      <w:r>
        <w:t>La direction et la gestion de la société relèvent du **gérant unique**, Fénelon Lamsasiri, dans le cadre des pouvoirs définis par les statuts.</w:t>
      </w:r>
    </w:p>
    <w:p>
      <w:r>
        <w:t>Les décisions collectives des associés sont prises en assemblée générale, conformément aux articles 15 à 18 des statuts.</w:t>
      </w:r>
    </w:p>
    <w:p>
      <w:r>
        <w:rPr>
          <w:b/>
        </w:rPr>
        <w:t>Article 2 — Réunions de coordination opérationnelle</w:t>
      </w:r>
    </w:p>
    <w:p>
      <w:r>
        <w:t>Outre les assemblées générales statutaires, les associés et le gérant se réunissent en **comité de direction** au moins une fois par mois, ou plus fréquemment si l'activité l'exige. Ces réunions peuvent se tenir en présentiel au siège social ou par visioconférence.</w:t>
      </w:r>
    </w:p>
    <w:p>
      <w:r>
        <w:t>L'ordre du jour est envoyé au moins 48 heures avant la réunion. Un procès-verbal sommaire est établi et archivé.</w:t>
      </w:r>
    </w:p>
    <w:p>
      <w:r>
        <w:rPr>
          <w:b/>
        </w:rPr>
        <w:t>Article 3 — Modalités de convocation</w:t>
      </w:r>
    </w:p>
    <w:p>
      <w:r>
        <w:t>Les convocations aux assemblées générales et aux réunions de comité de direction sont envoyées par :</w:t>
      </w:r>
    </w:p>
    <w:p>
      <w:pPr>
        <w:pStyle w:val="ListBullet"/>
      </w:pPr>
      <w:r>
        <w:t>courrier électronique ;</w:t>
      </w:r>
    </w:p>
    <w:p>
      <w:pPr>
        <w:pStyle w:val="ListBullet"/>
      </w:pPr>
      <w:r>
        <w:t>messagerie instantanée validée par les associés (WhatsApp, Telegram ou autre outil choisi collectivement) ;</w:t>
      </w:r>
    </w:p>
    <w:p>
      <w:pPr>
        <w:pStyle w:val="ListBullet"/>
      </w:pPr>
      <w:r>
        <w:t>tout autre moyen laissant une trace écrite.</w:t>
      </w:r>
    </w:p>
    <w:p>
      <w:r>
        <w:t>La preuve de la convocation résulte de l'accusé de réception ou de tout document attestant de la transmission.</w:t>
      </w:r>
    </w:p>
    <w:p>
      <w:r>
        <w:rPr>
          <w:b/>
        </w:rPr>
        <w:t>Article 4 — Quorum et prise de décision opérationnelle</w:t>
      </w:r>
    </w:p>
    <w:p>
      <w:r>
        <w:t>Pour les décisions relevant du comité de direction ou de la gestion courante, le quorum est atteint dès lors que le gérant et au moins la moitié des autres associés sont présents ou représentés.</w:t>
      </w:r>
    </w:p>
    <w:p>
      <w:r>
        <w:t>Les décisions opérationnelles sont prises à la majorité simple. En cas de partage égal, la voix du gérant prévaut.</w:t>
      </w:r>
    </w:p>
    <w:p>
      <w:r>
        <w:t>---</w:t>
      </w:r>
    </w:p>
    <w:p>
      <w:pPr>
        <w:pStyle w:val="Heading2"/>
      </w:pPr>
      <w:r>
        <w:t>TITRE II — RÉPARTITION OPÉRATIONNELLE DES RESPONSABILITÉS</w:t>
      </w:r>
    </w:p>
    <w:p>
      <w:r>
        <w:rPr>
          <w:b/>
        </w:rPr>
        <w:t>Article 5 — Fonctions de gérant</w:t>
      </w:r>
    </w:p>
    <w:p>
      <w:r>
        <w:t>Fénelon Lamsasiri exerce la fonction de **gérant unique** et assume, au quotidien, les fonctions de **Chief Executive Officer (CEO)** et de **Président-Directeur Général (PDG)**. À ce titre :</w:t>
      </w:r>
    </w:p>
    <w:p>
      <w:pPr>
        <w:pStyle w:val="ListBullet"/>
      </w:pPr>
      <w:r>
        <w:t>il définit la stratégie générale de la société en lien avec les associés ;</w:t>
      </w:r>
    </w:p>
    <w:p>
      <w:pPr>
        <w:pStyle w:val="ListBullet"/>
      </w:pPr>
      <w:r>
        <w:t>il représente la société auprès des tiers, des autorités, des clients, des partenaires et des investisseurs ;</w:t>
      </w:r>
    </w:p>
    <w:p>
      <w:pPr>
        <w:pStyle w:val="ListBullet"/>
      </w:pPr>
      <w:r>
        <w:t>il coordonne l'ensemble des activités et valide les orientations majeures ;</w:t>
      </w:r>
    </w:p>
    <w:p>
      <w:pPr>
        <w:pStyle w:val="ListBullet"/>
      </w:pPr>
      <w:r>
        <w:t>il convoque et préside les assemblées générales et les réunions de comité de direction ;</w:t>
      </w:r>
    </w:p>
    <w:p>
      <w:pPr>
        <w:pStyle w:val="ListBullet"/>
      </w:pPr>
      <w:r>
        <w:t>il supervise les recrutements, la propriété intellectuelle et la culture d'entreprise.</w:t>
      </w:r>
    </w:p>
    <w:p>
      <w:r>
        <w:rPr>
          <w:b/>
        </w:rPr>
        <w:t>Article 6 — Répartition des responsabilités entre associés</w:t>
      </w:r>
    </w:p>
    <w:p>
      <w:r>
        <w:t>Les responsabilités opérationnelles sont réparties comme suit à la date d'adoption du présent Règlement :</w:t>
      </w:r>
    </w:p>
    <w:p>
      <w:r>
        <w:t>Cette répartition peut évoluer par décision du gérant, après consultation des associés, et sous réserve de l'approbation de l'assemblée générale si elle implique une modification substantielle de la gouvernance.</w:t>
      </w:r>
    </w:p>
    <w:p>
      <w:r>
        <w:rPr>
          <w:b/>
        </w:rPr>
        <w:t>Article 7 — Délégation de signature</w:t>
      </w:r>
    </w:p>
    <w:p>
      <w:r>
        <w:t>Le gérant peut déléguer sa signature, à titre ponctuel ou permanent, à un ou plusieurs associés ou collaborateurs pour des actes de gestion courante dans les limites fixées par écrit.</w:t>
      </w:r>
    </w:p>
    <w:p>
      <w:r>
        <w:t>Toute délégation de signature est notifiée aux associés et peut être révoquée à tout moment par le gérant.</w:t>
      </w:r>
    </w:p>
    <w:p>
      <w:r>
        <w:t>---</w:t>
      </w:r>
    </w:p>
    <w:p>
      <w:pPr>
        <w:pStyle w:val="Heading2"/>
      </w:pPr>
      <w:r>
        <w:t>TITRE III — GESTION FINANCIÈRE COURANTE</w:t>
      </w:r>
    </w:p>
    <w:p>
      <w:r>
        <w:rPr>
          <w:b/>
        </w:rPr>
        <w:t>Article 8 — Comptes bancaires et moyens de paiement</w:t>
      </w:r>
    </w:p>
    <w:p>
      <w:r>
        <w:t>La société ouvre un ou plusieurs comptes bancaires professionnels et, le cas échéant, des comptes de mobile money dûment déclarés. Le gérant désigne les signataires habilités.</w:t>
      </w:r>
    </w:p>
    <w:p>
      <w:r>
        <w:t>Aucun compte professionnel ne peut être ouvert au nom d'un associé à titre personnel pour le compte de la société sans autorisation écrite de l'assemblée générale.</w:t>
      </w:r>
    </w:p>
    <w:p>
      <w:r>
        <w:rPr>
          <w:b/>
        </w:rPr>
        <w:t>Article 9 — Seuils de validation collective</w:t>
      </w:r>
    </w:p>
    <w:p>
      <w:r>
        <w:t>Sans préjudice des pouvoirs du gérant définis aux statuts, les dépenses ou engagements suivants nécessitent une validation préalable expresse de l'assemblée générale ou, à défaut, du comité de direction réuni à cet effet :</w:t>
      </w:r>
    </w:p>
    <w:p>
      <w:r>
        <w:t>1. Dépenses d'investissement supérieures à **cinq cents dollars américains (USD 500,00)** ;</w:t>
      </w:r>
    </w:p>
    <w:p>
      <w:r>
        <w:t>2. Engagements récurrents supérieurs à **deux cents dollars américains (USD 200,00)** par mois ;</w:t>
      </w:r>
    </w:p>
    <w:p>
      <w:r>
        <w:t>3. Frais de déplacement ou représentation supérieurs à **cent cinquante dollars américains (USD 150,00)** par personne et par événement ;</w:t>
      </w:r>
    </w:p>
    <w:p>
      <w:r>
        <w:t>4. Tout contrat ou abonnement dont l'engagement dépasse **douze (12) mois** ;</w:t>
      </w:r>
    </w:p>
    <w:p>
      <w:r>
        <w:t>5. Toute rémunération, prime ou avantage accordé à un associé ou dirigeant, à valider annuellement par l'assemblée générale.</w:t>
      </w:r>
    </w:p>
    <w:p>
      <w:r>
        <w:rPr>
          <w:b/>
        </w:rPr>
        <w:t>Article 10 — Budget annuel</w:t>
      </w:r>
    </w:p>
    <w:p>
      <w:r>
        <w:t>Chaque année, le gérant, avec l'appui de Patricia Zamwana pour les aspects financiers, prépare un budget prévisionnel soumis à l'approbation de l'assemblée générale ordinaire. Les écarts significatifs par rapport au budget approuvé doivent être justifiés et, le cas échéant, soumis à validation complémentaire.</w:t>
      </w:r>
    </w:p>
    <w:p>
      <w:r>
        <w:rPr>
          <w:b/>
        </w:rPr>
        <w:t>Article 11 — Rémunérations et comptes courants d'associés</w:t>
      </w:r>
    </w:p>
    <w:p>
      <w:r>
        <w:t>Les rémunérations des associés exerçant une activité opérationnelle au sein de la société sont fixées par l'assemblée générale sur proposition du gérant, sous réserve du respect de la législation fiscale et sociale congolaise.</w:t>
      </w:r>
    </w:p>
    <w:p>
      <w:r>
        <w:t>Tout avance ou compte courant d'associé doit être formalisé par écrit et soumis à l'approbation de l'assemblée générale si son montant dépasse USD 500,00.</w:t>
      </w:r>
    </w:p>
    <w:p>
      <w:r>
        <w:t>---</w:t>
      </w:r>
    </w:p>
    <w:p>
      <w:pPr>
        <w:pStyle w:val="Heading2"/>
      </w:pPr>
      <w:r>
        <w:t>TITRE IV — SWEAT EQUITY ET RÉSERVE D'OPTIONS (OPTION POOL)</w:t>
      </w:r>
    </w:p>
    <w:p>
      <w:r>
        <w:rPr>
          <w:b/>
        </w:rPr>
        <w:t>Article 12 — Principe du Sweat Equity</w:t>
      </w:r>
    </w:p>
    <w:p>
      <w:r>
        <w:t>Les parts sociales détenues par Fénelon Lamsasiri, Prince Bagheni, Patricia Zamwana et Zaina Bwale Godlove au-delà de leur strict apport en numéraire matérialisent un **Sweat Equity**, reconnaissant leur engagement opérationnel, stratégique et commercial dans la création et le développement de la société.</w:t>
      </w:r>
    </w:p>
    <w:p>
      <w:r>
        <w:rPr>
          <w:b/>
        </w:rPr>
        <w:t>Article 13 — Vesting des parts liées au Sweat Equity</w:t>
      </w:r>
    </w:p>
    <w:p>
      <w:r>
        <w:t>Les parts correspondant au Sweat Equity sont soumises à un mécanisme de **vesting** de **deux (2) ans**, avec un **cliff** d'un (1) an, sauf décision contraire de l'assemblée générale.</w:t>
      </w:r>
    </w:p>
    <w:p>
      <w:pPr>
        <w:pStyle w:val="ListBullet"/>
      </w:pPr>
      <w:r>
        <w:t>**Cliff d'un (1) an** : aucune part de Sweat Equity n'est définitivement acquise avant le premier anniversaire de l'immatriculation de la société au RCCM ou de la date d'entrée effective de l'associé dans l'activité ;</w:t>
      </w:r>
    </w:p>
    <w:p>
      <w:pPr>
        <w:pStyle w:val="ListBullet"/>
      </w:pPr>
      <w:r>
        <w:t>**Vesting linéaire** : après la période de cliff, les parts de Sweat Equity se définitivent au prorata temporis sur la durée totale du vesting, soit **1/24e par mois** pendant les vingt-quatre (24) mois suivant l'immatriculation.</w:t>
      </w:r>
    </w:p>
    <w:p>
      <w:r>
        <w:t>En cas de départ d'un associé avant l'acquisition complète de ses parts de Sweat Equity, les parts non encore acquises sont remises en réserve et peuvent être réattribuées selon les modalités fixées par l'assemblée générale.</w:t>
      </w:r>
    </w:p>
    <w:p>
      <w:pPr>
        <w:ind w:left="360"/>
      </w:pPr>
      <w:r>
        <w:t>**Précision juridique :** le vesting ne constitue pas une condition suspensive de libération des parts inscrites à l'acte constitutif. À ce stade, toutes les parts sont libérées par apports en numéraire. Le vesting engage la conduite morale et contractuelle des associés et pourra faire l'objet d'un **pacte d'associés** complémentaire renforçant ces engagements.</w:t>
      </w:r>
    </w:p>
    <w:p>
      <w:r>
        <w:rPr>
          <w:b/>
        </w:rPr>
        <w:t>Article 14 — Réserve d'options (Option Pool)</w:t>
      </w:r>
    </w:p>
    <w:p>
      <w:r>
        <w:t>Cinq pour cent (5 %) du capital social, soit cinq (5) parts sociales, sont réservés à l'attribution future de collaborateurs clés, associés ou partenaires. Ces parts sont provisoirement portées par Fénelon Lamsasiri pour le compte de la société.</w:t>
      </w:r>
    </w:p>
    <w:p>
      <w:r>
        <w:t>L'attribution définitive des parts issues de cette réserve nécessite une décision de l'assemblée générale statuant à la majorité extraordinaire prévue aux statuts, et, le cas échéant, la mise à jour des statuts et du RCCM.</w:t>
      </w:r>
    </w:p>
    <w:p>
      <w:r>
        <w:t>---</w:t>
      </w:r>
    </w:p>
    <w:p>
      <w:pPr>
        <w:pStyle w:val="Heading2"/>
      </w:pPr>
      <w:r>
        <w:t>TITRE V — PROCÉDURE EN CAS DE DÉSACCORD</w:t>
      </w:r>
    </w:p>
    <w:p>
      <w:r>
        <w:rPr>
          <w:b/>
        </w:rPr>
        <w:t>Article 15 — Règlement amiable interne</w:t>
      </w:r>
    </w:p>
    <w:p>
      <w:r>
        <w:t>En cas de désaccord entre associés sur une question de gestion, de stratégie ou d'interprétation du présent Règlement, les parties s'engagent à rechercher une solution amiable dans un délai de **trente (30) jours** à compter de la survenance du litige.</w:t>
      </w:r>
    </w:p>
    <w:p>
      <w:r>
        <w:t>Pendant cette période, aucune des parties ne peut engager une procédure judiciaire ou arbitrale.</w:t>
      </w:r>
    </w:p>
    <w:p>
      <w:r>
        <w:rPr>
          <w:b/>
        </w:rPr>
        <w:t>Article 16 — Médiation interne</w:t>
      </w:r>
    </w:p>
    <w:p>
      <w:r>
        <w:t>Si aucune solution amiable n'est trouvée, les parties soumettent leur différend à une **médiation interne** menée par un médiateur choisi d'un commun accord parmi les associés ou, à défaut, par une personne externe indépendante.</w:t>
      </w:r>
    </w:p>
    <w:p>
      <w:r>
        <w:t>La médiation doit aboutir dans un délai de **trente (30) jours** supplémentaires. Les parties s'engagent à participer de bonne foi aux séances de médiation.</w:t>
      </w:r>
    </w:p>
    <w:p>
      <w:r>
        <w:rPr>
          <w:b/>
        </w:rPr>
        <w:t>Article 17 — Recours externe</w:t>
      </w:r>
    </w:p>
    <w:p>
      <w:r>
        <w:t>À défaut de règlement par la médiation, le litige peut être porté devant les juridictions compétentes du lieu du siège social de la société, ou soumis à l'arbitrage si les parties en conviennent ainsi par écrit.</w:t>
      </w:r>
    </w:p>
    <w:p>
      <w:r>
        <w:t>---</w:t>
      </w:r>
    </w:p>
    <w:p>
      <w:pPr>
        <w:pStyle w:val="Heading2"/>
      </w:pPr>
      <w:r>
        <w:t>TITRE VI — CONFIDENTIALITÉ ET PROTECTION DES INFORMATIONS SENSIBLES</w:t>
      </w:r>
    </w:p>
    <w:p>
      <w:r>
        <w:rPr>
          <w:b/>
        </w:rPr>
        <w:t>Article 18 — Obligation de confidentialité</w:t>
      </w:r>
    </w:p>
    <w:p>
      <w:r>
        <w:t>Chaque associé, dirigeant et collaborateur s'engage à conserver strictement confidentielles toutes les informations sensibles de la société, y compris mais sans s'y limiter :</w:t>
      </w:r>
    </w:p>
    <w:p>
      <w:pPr>
        <w:pStyle w:val="ListBullet"/>
      </w:pPr>
      <w:r>
        <w:t>les stratégies commerciales et financières ;</w:t>
      </w:r>
    </w:p>
    <w:p>
      <w:pPr>
        <w:pStyle w:val="ListBullet"/>
      </w:pPr>
      <w:r>
        <w:t>les données clients, fournisseurs et partenaires ;</w:t>
      </w:r>
    </w:p>
    <w:p>
      <w:pPr>
        <w:pStyle w:val="ListBullet"/>
      </w:pPr>
      <w:r>
        <w:t>les algorithmes, code source, architecture technique et propriété intellectuelle ;</w:t>
      </w:r>
    </w:p>
    <w:p>
      <w:pPr>
        <w:pStyle w:val="ListBullet"/>
      </w:pPr>
      <w:r>
        <w:t>les informations relatives aux levées de fonds, term sheets et discussions avec des investisseurs ;</w:t>
      </w:r>
    </w:p>
    <w:p>
      <w:pPr>
        <w:pStyle w:val="ListBullet"/>
      </w:pPr>
      <w:r>
        <w:t>les comptes annuels et documents de gestion non rendus publics.</w:t>
      </w:r>
    </w:p>
    <w:p>
      <w:r>
        <w:t>Cette obligation s'applique pendant la durée de l'association et survit au départ de l'associé pour une durée de **cinq (5) années**, sauf si l'information est devenue publique de manière licite.</w:t>
      </w:r>
    </w:p>
    <w:p>
      <w:r>
        <w:rPr>
          <w:b/>
        </w:rPr>
        <w:t>Article 19 — Utilisation des informations</w:t>
      </w:r>
    </w:p>
    <w:p>
      <w:r>
        <w:t>Les informations confidentielles de la société ne peuvent être utilisées à des fins personnelles ou pour le compte d'un tiers concurrent. Toute violation de cette obligation pourra entraîner des sanctions civiles et disciplinaires, sans préjudice des droits de la société.</w:t>
      </w:r>
    </w:p>
    <w:p>
      <w:r>
        <w:t>---</w:t>
      </w:r>
    </w:p>
    <w:p>
      <w:pPr>
        <w:pStyle w:val="Heading2"/>
      </w:pPr>
      <w:r>
        <w:t>TITRE VII — MISE À JOUR DU RÈGLEMENT</w:t>
      </w:r>
    </w:p>
    <w:p>
      <w:r>
        <w:rPr>
          <w:b/>
        </w:rPr>
        <w:t>Article 20 — Procédure de modification</w:t>
      </w:r>
    </w:p>
    <w:p>
      <w:r>
        <w:t>Le présent Règlement peut être modifié à tout moment par décision de l'assemblée générale statuant à la majorité simple des parts représentées, sous réserve du respect des statuts et de la législation applicable.</w:t>
      </w:r>
    </w:p>
    <w:p>
      <w:r>
        <w:t>Toute modification fera l'objet d'un avenant écrit signé par tous les associés et archivé avec les statuts.</w:t>
      </w:r>
    </w:p>
    <w:p>
      <w:r>
        <w:rPr>
          <w:b/>
        </w:rPr>
        <w:t>Article 21 — Communication</w:t>
      </w:r>
    </w:p>
    <w:p>
      <w:r>
        <w:t>Une copie du présent Règlement et de ses avenants est tenue à la disposition de tout associé au siège social. La version en vigueur est celle ayant fait l'objet du dernier avenant approuvé.</w:t>
      </w:r>
    </w:p>
    <w:p>
      <w:r>
        <w:t>---</w:t>
      </w:r>
    </w:p>
    <w:p>
      <w:pPr>
        <w:pStyle w:val="Heading2"/>
      </w:pPr>
      <w:r>
        <w:t>TITRE VIII — DISPOSITIONS FINALES</w:t>
      </w:r>
    </w:p>
    <w:p>
      <w:r>
        <w:rPr>
          <w:b/>
        </w:rPr>
        <w:t>Article 22 — Entrée en vigueur</w:t>
      </w:r>
    </w:p>
    <w:p>
      <w:r>
        <w:t>Le présent Règlement entre en vigueur à la date de sa signature par l'ensemble des associés fondateurs, soit le **[insérer la date]**.</w:t>
      </w:r>
    </w:p>
    <w:p>
      <w:r>
        <w:rPr>
          <w:b/>
        </w:rPr>
        <w:t>Article 23 — Contradiction avec les statuts</w:t>
      </w:r>
    </w:p>
    <w:p>
      <w:r>
        <w:t>Il est rappelé expressément que le présent Règlement est subordonné aux statuts de la société. En cas de contradiction ou d'incompatibilité, les statuts prévalent et le Règlement doit être modifié en conséquence.</w:t>
      </w:r>
    </w:p>
    <w:p>
      <w:r>
        <w:t>---</w:t>
      </w:r>
    </w:p>
    <w:p>
      <w:r>
        <w:t>Fait à **Butembo**, le **[insérer la date]**</w:t>
      </w:r>
    </w:p>
    <w:p>
      <w:r>
        <w:t>En autant d'exemplaires originaux qu'il y a d'associés.</w:t>
      </w:r>
    </w:p>
    <w:p>
      <w:r>
        <w:t>---</w:t>
      </w:r>
    </w:p>
    <w:p>
      <w:r>
        <w:rPr>
          <w:b/>
        </w:rPr>
        <w:t>Signatures des associés :</w:t>
      </w:r>
    </w:p>
    <w:p>
      <w:r>
        <w:t xml:space="preserve">1. ___________________________  </w:t>
      </w:r>
    </w:p>
    <w:p>
      <w:r>
        <w:t xml:space="preserve">   Fénelon Lamsasiri</w:t>
      </w:r>
    </w:p>
    <w:p>
      <w:r>
        <w:t xml:space="preserve">2. ___________________________  </w:t>
      </w:r>
    </w:p>
    <w:p>
      <w:r>
        <w:t xml:space="preserve">   Prince Bagheni</w:t>
      </w:r>
    </w:p>
    <w:p>
      <w:r>
        <w:t xml:space="preserve">3. ___________________________  </w:t>
      </w:r>
    </w:p>
    <w:p>
      <w:r>
        <w:t xml:space="preserve">   Patricia Zamwana</w:t>
      </w:r>
    </w:p>
    <w:p>
      <w:r>
        <w:t xml:space="preserve">4. ___________________________  </w:t>
      </w:r>
    </w:p>
    <w:p>
      <w:r>
        <w:t xml:space="preserve">   Zaina Bwale Godlove</w:t>
      </w:r>
    </w:p>
    <w:p>
      <w:r>
        <w:t xml:space="preserve">5. ___________________________  </w:t>
      </w:r>
    </w:p>
    <w:p>
      <w:r>
        <w:t xml:space="preserve">   Mosengo Kihambambuka</w:t>
      </w:r>
    </w:p>
    <w:p>
      <w:r>
        <w:t>---</w:t>
      </w:r>
    </w:p>
    <w:p>
      <w:pPr>
        <w:ind w:left="360"/>
      </w:pPr>
      <w:r>
        <w:t>**Disclaimer obligatoire :** Le présent règlement d'ordre intérieur est un document de travail interne. Il ne fait pas l'objet d'un dépôt au RCCM. Il doit être cohérent avec les statuts et ne peut leur être contraire. Avant signature, il est recommandé de le soumettre à un professionnel du droit (notaire ou avocat) agréé en République Démocratique du Congo pour vérifier sa compatibilité avec le droit OHADA et le droit congolais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