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STATUTS DE CONSTITUTION D'UNE SOCIÉTÉ À RESPONSABILITÉ LIMITÉE (SARL)</w:t>
      </w:r>
    </w:p>
    <w:p>
      <w:r>
        <w:t>---</w:t>
      </w:r>
    </w:p>
    <w:p>
      <w:pPr>
        <w:pStyle w:val="Heading2"/>
      </w:pPr>
      <w:r>
        <w:t>TITRE I — FORME, DÉNOMINATION, SIÈGE SOCIAL ET DURÉE</w:t>
      </w:r>
    </w:p>
    <w:p>
      <w:r>
        <w:rPr>
          <w:b/>
        </w:rPr>
        <w:t>Article 1 — Forme sociale</w:t>
      </w:r>
    </w:p>
    <w:p>
      <w:r>
        <w:t>Il est formé entre les soussignés une société à responsabilité limitée (SARL), soumise aux dispositions de l'Acte Uniforme OHADA portant harmonisation des sociétés commerciales et du GIE du 30 janvier 2014, telle que révisée ou complétée, ainsi qu'aux lois de la République Démocratique du Congo applicables.</w:t>
      </w:r>
    </w:p>
    <w:p>
      <w:r>
        <w:rPr>
          <w:b/>
        </w:rPr>
        <w:t>Article 2 — Dénomination sociale</w:t>
      </w:r>
    </w:p>
    <w:p>
      <w:r>
        <w:t>La dénomination sociale est : **Opays Tech SARL**, dénommée ci-après « la Société ».</w:t>
      </w:r>
    </w:p>
    <w:p>
      <w:r>
        <w:rPr>
          <w:b/>
        </w:rPr>
        <w:t>Article 3 — Siège social</w:t>
      </w:r>
    </w:p>
    <w:p>
      <w:r>
        <w:t>Le siège social de la Société est situé à **Butembo**, Province du **Nord-Kivu**, République Démocratique du Congo. L'adresse exacte est la suivante : **[adresse complète à insérer]**.</w:t>
      </w:r>
    </w:p>
    <w:p>
      <w:r>
        <w:t>Le siège social peut être transféré dans la même ville ou dans une autre localité de la République Démocratique du Congo par décision collective des associés, sous réserve des formalités légales et réglementaires applicables, notamment la mise à jour du RCCM.</w:t>
      </w:r>
    </w:p>
    <w:p>
      <w:r>
        <w:rPr>
          <w:b/>
        </w:rPr>
        <w:t>Article 4 — Durée</w:t>
      </w:r>
    </w:p>
    <w:p>
      <w:r>
        <w:t>La durée de la Société est fixée à **quatre-vingt-dix-neuf (99) ans** à compter de son immatriculation au Registre du Commerce et du Crédit Mobilier (RCCM), sauf prorogation ou dissolution anticipée prononcée dans les conditions prévues par la loi et les présents statuts.</w:t>
      </w:r>
    </w:p>
    <w:p>
      <w:r>
        <w:t>---</w:t>
      </w:r>
    </w:p>
    <w:p>
      <w:pPr>
        <w:pStyle w:val="Heading2"/>
      </w:pPr>
      <w:r>
        <w:t>TITRE II — OBJET SOCIAL</w:t>
      </w:r>
    </w:p>
    <w:p>
      <w:r>
        <w:rPr>
          <w:b/>
        </w:rPr>
        <w:t>Article 5 — Objet social</w:t>
      </w:r>
    </w:p>
    <w:p>
      <w:r>
        <w:t>La Société a pour objet principal, en République Démocratique du Congo et à l'étranger :</w:t>
      </w:r>
    </w:p>
    <w:p>
      <w:r>
        <w:t>1. La conception, le développement, l'édition, l'intégration, l'hébergement, la maintenance et la commercialisation de logiciels, applications, plateformes numériques, outils de pilotage d'entreprise (dashboards, tableaux de bord sectoriels), systèmes d'information et solutions de transformation digitale ;</w:t>
      </w:r>
    </w:p>
    <w:p>
      <w:r>
        <w:t>2. Le conseil en ingénierie de l'efficience, en organisation, en transformation digitale, en gestion des données et en accompagnement stratégique des entreprises et organisations ;</w:t>
      </w:r>
    </w:p>
    <w:p>
      <w:r>
        <w:t>3. La prestation de services informatiques, de support technique, de formation, de formation en ligne, d'assistance utilisateur et de cybersécurité de base ;</w:t>
      </w:r>
    </w:p>
    <w:p>
      <w:r>
        <w:t>4. La fourniture de services connectés, y compris par abonnement (SaaS), par licence, par prestation de services ou par tout autre mode économique compatible ;</w:t>
      </w:r>
    </w:p>
    <w:p>
      <w:r>
        <w:t>5. La propriété, l'exploitation, l'achat, la vente, la location et la gestion de tous droits de propriété intellectuelle, noms de domaine, marques, logiciels et bases de données utiles à son activité ;</w:t>
      </w:r>
    </w:p>
    <w:p>
      <w:r>
        <w:t>6. L'exercice, de manière générale, de toutes activités commerciales, industrielles, mobilières, immobilières, financières ou connexes, directement ou indirectement liées à l'objet social principal ou à tous objets similaires ou connexes, dans le respect de la législation applicable.</w:t>
      </w:r>
    </w:p>
    <w:p>
      <w:r>
        <w:t>La Société pourra prendre des participations dans toute entreprise ou société dont l'activité serait en relation avec l'objet social.</w:t>
      </w:r>
    </w:p>
    <w:p>
      <w:r>
        <w:t>---</w:t>
      </w:r>
    </w:p>
    <w:p>
      <w:pPr>
        <w:pStyle w:val="Heading2"/>
      </w:pPr>
      <w:r>
        <w:t>TITRE III — APPORTS — CAPITAL SOCIAL — PARTS SOCIALES</w:t>
      </w:r>
    </w:p>
    <w:p>
      <w:r>
        <w:rPr>
          <w:b/>
        </w:rPr>
        <w:t>Article 6 — Capital social et apports</w:t>
      </w:r>
    </w:p>
    <w:p>
      <w:r>
        <w:t>Le capital social de la Société est fixé à **trois cents dollars américains (USD 300,00)**.</w:t>
      </w:r>
    </w:p>
    <w:p>
      <w:r>
        <w:t>Il est divisé en **cent (100) parts sociales** de valeur nominale de **trois dollars américains (USD 3,00)** chacune, intégralement souscrites et libérées en numéraire.</w:t>
      </w:r>
    </w:p>
    <w:p>
      <w:r>
        <w:t>Les apports sont répartis comme suit :</w:t>
      </w:r>
    </w:p>
    <w:p>
      <w:r>
        <w:rPr>
          <w:b/>
        </w:rPr>
        <w:t>Article 7 — Libération des apports en numéraire</w:t>
      </w:r>
    </w:p>
    <w:p>
      <w:r>
        <w:t>Chaque associé a libéré son apport en numéraire par versement de la somme de **soixante dollars américains (USD 60,00)** sur le compte bancaire ou de mobile money ouvert au nom de la Société en formation, ou par remise au notaire/constituant chargé de la constitution, avant l'immatriculation de la Société au RCCM.</w:t>
      </w:r>
    </w:p>
    <w:p>
      <w:r>
        <w:t>Un certificat du dépositaire ou les pièces justificatives de versement seront annexés aux présents statuts.</w:t>
      </w:r>
    </w:p>
    <w:p>
      <w:r>
        <w:rPr>
          <w:b/>
        </w:rPr>
        <w:t>Article 8 — Répartition disproportionnée et cessions conventionnelles</w:t>
      </w:r>
    </w:p>
    <w:p>
      <w:r>
        <w:t>Conformément à la volonté des associés, la répartition finale des parts sociales ne correspond pas à la parité des apports en numéraire. Cette disproportion est matérialisée par des **cessions gratuites conventionnelles** de parts sociales consenties entre les associés dès l'acte constitutif, dans les conditions suivantes :</w:t>
      </w:r>
    </w:p>
    <w:p>
      <w:pPr>
        <w:pStyle w:val="ListBullet"/>
      </w:pPr>
      <w:r>
        <w:t>Fénelon Lamsasiri : reçoit 33 parts supplémentaires, dont 5 parts réservées à l'option pool qu'il porte provisoirement pour le compte de la Société ;</w:t>
      </w:r>
    </w:p>
    <w:p>
      <w:pPr>
        <w:pStyle w:val="ListBullet"/>
      </w:pPr>
      <w:r>
        <w:t>Prince Bagheni : reçoit 3 parts supplémentaires ;</w:t>
      </w:r>
    </w:p>
    <w:p>
      <w:pPr>
        <w:pStyle w:val="ListBullet"/>
      </w:pPr>
      <w:r>
        <w:t>Patricia Zamwana : cède 12 parts ;</w:t>
      </w:r>
    </w:p>
    <w:p>
      <w:pPr>
        <w:pStyle w:val="ListBullet"/>
      </w:pPr>
      <w:r>
        <w:t>Zaina Bwale Godlove : cède 12 parts ;</w:t>
      </w:r>
    </w:p>
    <w:p>
      <w:pPr>
        <w:pStyle w:val="ListBullet"/>
      </w:pPr>
      <w:r>
        <w:t>Mosengo Kihambambuka : cède 17 parts.</w:t>
      </w:r>
    </w:p>
    <w:p>
      <w:r>
        <w:rPr>
          <w:b/>
        </w:rPr>
        <w:t>Article 9 — Droits attachés aux parts sociales</w:t>
      </w:r>
    </w:p>
    <w:p>
      <w:r>
        <w:t>Chaque part sociale confère à son propriétaire un droit de vocation dans les bénéfices sociaux, le boni de liquidation et l'actif social proportionnel au nombre de parts détenues.</w:t>
      </w:r>
    </w:p>
    <w:p>
      <w:r>
        <w:t>Les parts détenues provisoirement par Fénelon Lamsasiri au titre de la réserve d'options ne confèrent pas de droit de vote ni de droit aux bénéfices à titre personnel ; elles sont réservées à l'attribution future de collaborateurs ou d'associés, selon les modalités fixées par l'assemblée générale et formalisées dans le règlement d'ordre intérieur ou un pacte d'associés.</w:t>
      </w:r>
    </w:p>
    <w:p>
      <w:r>
        <w:rPr>
          <w:b/>
        </w:rPr>
        <w:t>Article 10 — Forme des parts sociales et registre des mouvements de titres</w:t>
      </w:r>
    </w:p>
    <w:p>
      <w:r>
        <w:t>Les parts sociales sont indivisibles à l'égard de la Société. Elles sont représentées par une inscription dans un registre des mouvements de titres tenu au siège social.</w:t>
      </w:r>
    </w:p>
    <w:p>
      <w:r>
        <w:t>Tout transfert de parts sociales doit être notifié à la Société et inscrit au registre des mouvements de titres, dans le respect des articles ci-après.</w:t>
      </w:r>
    </w:p>
    <w:p>
      <w:r>
        <w:t>---</w:t>
      </w:r>
    </w:p>
    <w:p>
      <w:pPr>
        <w:pStyle w:val="Heading2"/>
      </w:pPr>
      <w:r>
        <w:t>TITRE IV — GÉRANCE</w:t>
      </w:r>
    </w:p>
    <w:p>
      <w:r>
        <w:rPr>
          <w:b/>
        </w:rPr>
        <w:t>Article 11 — Gérance</w:t>
      </w:r>
    </w:p>
    <w:p>
      <w:r>
        <w:t>La Société est gérée par **un gérant unique**.</w:t>
      </w:r>
    </w:p>
    <w:p>
      <w:r>
        <w:t>Le premier gérant de la Société est **Monsieur Fénelon Lamsasiri**, qui exerce les fonctions de gérant unique pour une durée indéterminée à compter de l'immatriculation de la Société au RCCM.</w:t>
      </w:r>
    </w:p>
    <w:p>
      <w:r>
        <w:t>Il peut être révoocablement révoqué par décision de l'assemblée générale des associés, prise à la majorité des deux tiers des parts sociales.</w:t>
      </w:r>
    </w:p>
    <w:p>
      <w:r>
        <w:rPr>
          <w:b/>
        </w:rPr>
        <w:t>Article 12 — Pouvoirs du gérant unique</w:t>
      </w:r>
    </w:p>
    <w:p>
      <w:r>
        <w:t>Le gérant unique dispose des pouvoirs les plus étendus pour agir en toute circonstance au nom et pour le compte de la Société, sous réserve de l'objet social, des présents statuts et des décisions collectives des associés.</w:t>
      </w:r>
    </w:p>
    <w:p>
      <w:r>
        <w:t>Il représente la Société dans tous les actes de la vie civile. La Société est engagée même par les actes du gérant qui ne relèvent pas de l'objet social, sauf si elle prouve que le tiers savait que l'acte dépassait cet objet ou qu'il ne pouvait l'ignorer.</w:t>
      </w:r>
    </w:p>
    <w:p>
      <w:r>
        <w:t>Par dérogation, les actes suivants nécessitent une autorisation préalable de l'assemblée générale des associés :</w:t>
      </w:r>
    </w:p>
    <w:p>
      <w:r>
        <w:t>1. Toute cession ou acquisition d'immeuble ou de fonds de commerce ;</w:t>
      </w:r>
    </w:p>
    <w:p>
      <w:r>
        <w:t>2. Toute constitution de sûreté réelle ou personnelle, cautionnement, aval ou garantie au profit d'un tiers, hors opérations courantes bancaires ;</w:t>
      </w:r>
    </w:p>
    <w:p>
      <w:r>
        <w:t>3. Tout emprunt, crédit, leasing ou engagement financier supérieur à **deux mille dollars américains (USD 2 000,00)** ou l'équivalent en toute autre devise ;</w:t>
      </w:r>
    </w:p>
    <w:p>
      <w:r>
        <w:t>4. Toute modification de l'objet social, du siège social ou de la forme juridique ;</w:t>
      </w:r>
    </w:p>
    <w:p>
      <w:r>
        <w:t>5. Toute création de filiale, prise de participation majoritaire ou apport en société ;</w:t>
      </w:r>
    </w:p>
    <w:p>
      <w:r>
        <w:t>6. Toute instance judiciaire ou arbitrage dont le montant ou l'enjeu dépasse USD 2 000,00.</w:t>
      </w:r>
    </w:p>
    <w:p>
      <w:r>
        <w:rPr>
          <w:b/>
        </w:rPr>
        <w:t>Article 13 — Rémunération et avantages du gérant</w:t>
      </w:r>
    </w:p>
    <w:p>
      <w:r>
        <w:t>La rémunération du gérant est fixée par l'assemblée générale des associés, après présentation des comptes annuels. Le gérant peut également bénéficier d'avantages en nature ou d'indemnités dans le respect de la législation fiscale et sociale applicable.</w:t>
      </w:r>
    </w:p>
    <w:p>
      <w:r>
        <w:rPr>
          <w:b/>
        </w:rPr>
        <w:t>Article 14 — Responsabilité du gérant</w:t>
      </w:r>
    </w:p>
    <w:p>
      <w:r>
        <w:t>Le gérant est responsable envers la Société et les tiers de l'exécution de son mandat. Il est tenu d'une obligation de diligence, de loyauté et de confidentialité. Il rend compte chaque année à l'assemblée générale de sa gestion.</w:t>
      </w:r>
    </w:p>
    <w:p>
      <w:r>
        <w:t>---</w:t>
      </w:r>
    </w:p>
    <w:p>
      <w:pPr>
        <w:pStyle w:val="Heading2"/>
      </w:pPr>
      <w:r>
        <w:t>TITRE V — ASSEMBLÉES GÉNÉRALES D'ASSOCIÉS</w:t>
      </w:r>
    </w:p>
    <w:p>
      <w:r>
        <w:rPr>
          <w:b/>
        </w:rPr>
        <w:t>Article 15 — Décisions collectives</w:t>
      </w:r>
    </w:p>
    <w:p>
      <w:r>
        <w:t>Les décisions des associés sont prises en assemblée générale, réunie au siège social ou en tout autre lieu déterminé par l'ordre du jour, et dans les formes prévues par la loi et les présents statuts.</w:t>
      </w:r>
    </w:p>
    <w:p>
      <w:r>
        <w:t>Chaque part sociale confère à son propriétaire un droit de vote. Le nombre de voix est proportionnel au nombre de parts détenues.</w:t>
      </w:r>
    </w:p>
    <w:p>
      <w:r>
        <w:t>Les décisions de l'assemblée générale sont constatées par un procès-verbal signé par le président et le secrétaire de séance, ou, en cas de consultation écrale, par tout moyen conférant date certaine.</w:t>
      </w:r>
    </w:p>
    <w:p>
      <w:r>
        <w:rPr>
          <w:b/>
        </w:rPr>
        <w:t>Article 16 — Convocation</w:t>
      </w:r>
    </w:p>
    <w:p>
      <w:r>
        <w:t>Les assemblées générales sont convoquées par le gérant au moins **quinze (15) jours** avant la date fixée, par lettre recommandée, courrier électronique ou tout autre moyen équivalent, avec indication de l'ordre du jour.</w:t>
      </w:r>
    </w:p>
    <w:p>
      <w:r>
        <w:t>Tout associé peut demander l'inscription d'un point à l'ordre du jour jusqu'à **cinq (5) jours** avant la tenue de l'assemblée générale.</w:t>
      </w:r>
    </w:p>
    <w:p>
      <w:r>
        <w:rPr>
          <w:b/>
        </w:rPr>
        <w:t>Article 17 — Assemblée générale ordinaire</w:t>
      </w:r>
    </w:p>
    <w:p>
      <w:r>
        <w:t>L'assemblée générale ordinaire se réunit au moins une fois par an, dans les six mois suivant la clôture de l'exercice social, pour approuver les comptes annuels, la gestion du gérant, l'affectation du résultat et toute autre question relevant de sa compétence.</w:t>
      </w:r>
    </w:p>
    <w:p>
      <w:r>
        <w:t>Elle statue valablement quel que soit le nombre de parts représentées.</w:t>
      </w:r>
    </w:p>
    <w:p>
      <w:r>
        <w:t>Les décisions sont prises à la **majorité des parts représentées**, sous réserve des dispositions légalement ou statutairement impératives.</w:t>
      </w:r>
    </w:p>
    <w:p>
      <w:r>
        <w:rPr>
          <w:b/>
        </w:rPr>
        <w:t>Article 18 — Assemblée générale extraordinaire</w:t>
      </w:r>
    </w:p>
    <w:p>
      <w:r>
        <w:t>L'assemblée générale extraordinaire est compétente pour les décisions suivantes :</w:t>
      </w:r>
    </w:p>
    <w:p>
      <w:r>
        <w:t>1. Modification de l'objet social ;</w:t>
      </w:r>
    </w:p>
    <w:p>
      <w:r>
        <w:t>2. Modification des statuts ;</w:t>
      </w:r>
    </w:p>
    <w:p>
      <w:r>
        <w:t>3. Augmentation, réduction ou amortissement du capital social ;</w:t>
      </w:r>
    </w:p>
    <w:p>
      <w:r>
        <w:t>4. Fusion, scission, apport partiel d'actif ;</w:t>
      </w:r>
    </w:p>
    <w:p>
      <w:r>
        <w:t>5. Transformation de la forme sociale ;</w:t>
      </w:r>
    </w:p>
    <w:p>
      <w:r>
        <w:t>6. Dissolution anticipée de la Société ;</w:t>
      </w:r>
    </w:p>
    <w:p>
      <w:r>
        <w:t>7. Toute autre décision requérant une majorité extraordinaire en vertu de la loi ou des présents statuts.</w:t>
      </w:r>
    </w:p>
    <w:p>
      <w:r>
        <w:t>L'assemblée générale extraordinaire ne délibère valablement que si les associés présents ou représentés détiennent au moins **les trois quarts (3/4)** des parts sociales.</w:t>
      </w:r>
    </w:p>
    <w:p>
      <w:r>
        <w:t>Ses décisions sont prises à la **majorité des deux tiers (2/3)** des parts représentées.</w:t>
      </w:r>
    </w:p>
    <w:p>
      <w:r>
        <w:t>---</w:t>
      </w:r>
    </w:p>
    <w:p>
      <w:pPr>
        <w:pStyle w:val="Heading2"/>
      </w:pPr>
      <w:r>
        <w:t>TITRE VI — CESSION ET TRANSMISSION DES PARTS SOCIALES</w:t>
      </w:r>
    </w:p>
    <w:p>
      <w:r>
        <w:rPr>
          <w:b/>
        </w:rPr>
        <w:t>Article 19 — Cession entre associés</w:t>
      </w:r>
    </w:p>
    <w:p>
      <w:r>
        <w:t>La cession de parts sociales entre associés est libre, sous réserve de notification écrite à la Société et d'inscription au registre des mouvements de titres dans les trente (30) jours suivant la cession.</w:t>
      </w:r>
    </w:p>
    <w:p>
      <w:r>
        <w:rPr>
          <w:b/>
        </w:rPr>
        <w:t>Article 20 — Cession à des tiers</w:t>
      </w:r>
    </w:p>
    <w:p>
      <w:r>
        <w:t>La cession de parts sociales, à titre onéreux ou gratuit, à des tiers ou à des personnes qui ne sont pas associés de la Société, est soumise à l'agrément préalable de la majorité des associés représentant au moins les **deux tiers (2/3)** des parts sociales.</w:t>
      </w:r>
    </w:p>
    <w:p>
      <w:r>
        <w:t>Le cédant doit notifier sa demande d'agrément au gérant par lettre recommandée ou moyen équivalent, en indiquant l'identité du cessionnaire proposé, le nombre de parts concernées et le prix ou la base de valorisation retenue.</w:t>
      </w:r>
    </w:p>
    <w:p>
      <w:r>
        <w:t>En cas de refus d'agrément, la cession peut se réaliser entre les associés selon les conditions de l'article 21 ci-dessous. À défaut d'accord entre les parties, l'associé le plus diligenté peut saisir les juridictions compétentes.</w:t>
      </w:r>
    </w:p>
    <w:p>
      <w:r>
        <w:t>Si l'agrément est refusé, la Société est tenue, dans un délai de quatre-vingt-dix (90) jours à compter du refus, de faire acquérir les parts par un associé ou par un tiers agréé, ou de procéder au rachat desdites parts conformément aux dispositions légales applicables.</w:t>
      </w:r>
    </w:p>
    <w:p>
      <w:r>
        <w:rPr>
          <w:b/>
        </w:rPr>
        <w:t>Article 21 — Droit de préemption des associés</w:t>
      </w:r>
    </w:p>
    <w:p>
      <w:r>
        <w:t>En cas de cession envisagée à un tiers, les autres associés bénéficient d'un **droit de préemption** proportionnel à leur participation au capital, à moins qu'ils ne renoncent par écrit audit droit.</w:t>
      </w:r>
    </w:p>
    <w:p>
      <w:r>
        <w:t>Le cédant doit notifier aux associés l'identité du tiers cessionnaire proposé, le nombre de parts concernées, le prix et les conditions de la cession proposée. Les associés disposent d'un délai de **trente (30) jours** à compter de la notification pour notifier au cédant leur intention d'exercer leur droit de préemption.</w:t>
      </w:r>
    </w:p>
    <w:p>
      <w:r>
        <w:t>En cas d'exercice du droit de préemption, la cession s'effectue aux mêmes prix et conditions que ceux proposés par le tiers.</w:t>
      </w:r>
    </w:p>
    <w:p>
      <w:r>
        <w:rPr>
          <w:b/>
        </w:rPr>
        <w:t>Article 22 — Transmission à titre gratuit ou successorale</w:t>
      </w:r>
    </w:p>
    <w:p>
      <w:r>
        <w:t>En cas de décès d'un associé, ses parts sociales sont transmises, sous réserve des dispositions légales applicables et de l'agrément des associés dans les conditions de l'article 20, à ses héritiers ou légataires.</w:t>
      </w:r>
    </w:p>
    <w:p>
      <w:r>
        <w:t>Les statuts peuvent être modifiés pour prévoir un droit d'opposition spécifique dans les conditions prévues par l'Acte Uniforme OHADA.</w:t>
      </w:r>
    </w:p>
    <w:p>
      <w:r>
        <w:t>---</w:t>
      </w:r>
    </w:p>
    <w:p>
      <w:pPr>
        <w:pStyle w:val="Heading2"/>
      </w:pPr>
      <w:r>
        <w:t>TITRE VII — COMPTABILITÉ, EXERCICE SOCIAL ET AFFECTATION DES RÉSULTATS</w:t>
      </w:r>
    </w:p>
    <w:p>
      <w:r>
        <w:rPr>
          <w:b/>
        </w:rPr>
        <w:t>Article 23 — Exercice social</w:t>
      </w:r>
    </w:p>
    <w:p>
      <w:r>
        <w:t>L'exercice social commence le **1er janvier** et se termine le **31 décembre** de chaque année.</w:t>
      </w:r>
    </w:p>
    <w:p>
      <w:r>
        <w:t>Le premier exercice social court de la date d'immatriculation de la Société au RCCM jusqu'au 31 décembre de l'année en cours, ou jusqu'au 31 décembre de l'année suivante si l'immatriculation intervient après le 30 septembre.</w:t>
      </w:r>
    </w:p>
    <w:p>
      <w:r>
        <w:rPr>
          <w:b/>
        </w:rPr>
        <w:t>Article 24 — Comptes annuels</w:t>
      </w:r>
    </w:p>
    <w:p>
      <w:r>
        <w:t>Le gérant établit chaque année les comptes annuels conformément au SYSCOHADA révisé. Les comptes annuels comprennent notamment le bilan, le compte de résultat, le tableau des flux de trésorerie, l'annexe et le rapport de gestion.</w:t>
      </w:r>
    </w:p>
    <w:p>
      <w:r>
        <w:rPr>
          <w:b/>
        </w:rPr>
        <w:t>Article 25 — Affectation des bénéfices</w:t>
      </w:r>
    </w:p>
    <w:p>
      <w:r>
        <w:t>Sur les bénéfices nets de l'exercice, diminués des pertes antérieures, s'il y a lieu, sont prélevées :</w:t>
      </w:r>
    </w:p>
    <w:p>
      <w:r>
        <w:t>1. **Cinq pour cent (5 %)** pour constitution du fonds de réserve légal, jusqu'à ce que celui-ci atteigne **dix pour cent (10 %)** du capital social libéré ;</w:t>
      </w:r>
    </w:p>
    <w:p>
      <w:r>
        <w:t>2. Les sommes nécessaires pour constituer ou compléter les réserves statutaires ou contractuelles, le cas échéant, sur décision de l'assemblée générale.</w:t>
      </w:r>
    </w:p>
    <w:p>
      <w:r>
        <w:t>Le solde, majoré des reports bénéficiaires, est réparti entre les associés en proportion des parts détenues par chacun d'eux, ou porté en report à nouveau, selon la décision de l'assemblée générale.</w:t>
      </w:r>
    </w:p>
    <w:p>
      <w:r>
        <w:t>Les pertes sont supportées par tous les associés en proportion de leur part dans le capital social.</w:t>
      </w:r>
    </w:p>
    <w:p>
      <w:r>
        <w:rPr>
          <w:b/>
        </w:rPr>
        <w:t>Article 26 — Distribution intermédiaire</w:t>
      </w:r>
    </w:p>
    <w:p>
      <w:r>
        <w:t>Sous réserve des conditions légales applicables en droit OHADA et congolais, l'assemblée générale peut autoriser le gérant à effectuer des distributions intermédiaires de dividendes.</w:t>
      </w:r>
    </w:p>
    <w:p>
      <w:r>
        <w:t>---</w:t>
      </w:r>
    </w:p>
    <w:p>
      <w:pPr>
        <w:pStyle w:val="Heading2"/>
      </w:pPr>
      <w:r>
        <w:t>TITRE VIII — DISSOLUTION ET LIQUIDATION</w:t>
      </w:r>
    </w:p>
    <w:p>
      <w:r>
        <w:rPr>
          <w:b/>
        </w:rPr>
        <w:t>Article 27 — Causes de dissolution</w:t>
      </w:r>
    </w:p>
    <w:p>
      <w:r>
        <w:t>La Société est dissolue :</w:t>
      </w:r>
    </w:p>
    <w:p>
      <w:r>
        <w:t>1. Par l'expiration de la durée fixée par les statuts, sauf prorogation ;</w:t>
      </w:r>
    </w:p>
    <w:p>
      <w:r>
        <w:t>2. Par décision de l'assemblée générale extraordinaire statuant dans les conditions prévues à l'article 18 ;</w:t>
      </w:r>
    </w:p>
    <w:p>
      <w:r>
        <w:t>3. Par fusion ou scission totale ;</w:t>
      </w:r>
    </w:p>
    <w:p>
      <w:r>
        <w:t>4. Par incapacité d'exercer son activité ou par réalisation de l'objet social ;</w:t>
      </w:r>
    </w:p>
    <w:p>
      <w:r>
        <w:t>5. Pour toute autre cause prévue par la loi.</w:t>
      </w:r>
    </w:p>
    <w:p>
      <w:r>
        <w:rPr>
          <w:b/>
        </w:rPr>
        <w:t>Article 28 — Liquidation</w:t>
      </w:r>
    </w:p>
    <w:p>
      <w:r>
        <w:t>En cas de dissolution, la Société entre en liquidation. L'assemblée générale extraordinaire nomme un ou plusieurs liquidateurs et fixe leurs pouvoirs.</w:t>
      </w:r>
    </w:p>
    <w:p>
      <w:r>
        <w:t>Le liquidateur dispose des pouvoirs nécessaires pour réaliser l'actif, payer le passif et répartir le solde disponible entre les associés en proportion des parts détenues.</w:t>
      </w:r>
    </w:p>
    <w:p>
      <w:r>
        <w:t>Le boni de liquidation est réparti conformément aux droits de chaque associé. Après clôture de la liquidation, l'immatriculation de la Société au RCCM est radiée. L'actif net ne peut être remis aux associés qu'après constitution des réserves légales nécessaires au règlement des dettes éventuelles.</w:t>
      </w:r>
    </w:p>
    <w:p>
      <w:r>
        <w:rPr>
          <w:b/>
        </w:rPr>
        <w:t>Article 29 — Continuité de la personnalité morale</w:t>
      </w:r>
    </w:p>
    <w:p>
      <w:r>
        <w:t>La dissolution n'entraîne pas la disparition de la personnalité morale de la Société tant que la liquidation n'est pas close. La Société conserve sa personnalité morale à l'égard des tiers jusqu'à la radiation du RCCM.</w:t>
      </w:r>
    </w:p>
    <w:p>
      <w:r>
        <w:t>---</w:t>
      </w:r>
    </w:p>
    <w:p>
      <w:pPr>
        <w:pStyle w:val="Heading2"/>
      </w:pPr>
      <w:r>
        <w:t>TITRE IX — CLAUSES PARTICULIÈRES AU SECTEUR TECHNOLOGIQUE</w:t>
      </w:r>
    </w:p>
    <w:p>
      <w:r>
        <w:rPr>
          <w:b/>
        </w:rPr>
        <w:t>Article 30 — Propriété intellectuelle</w:t>
      </w:r>
    </w:p>
    <w:p>
      <w:r>
        <w:t>Sont la propriété exclusive de la Société :</w:t>
      </w:r>
    </w:p>
    <w:p>
      <w:pPr>
        <w:pStyle w:val="ListBullet"/>
      </w:pPr>
      <w:r>
        <w:t>les logiciels, code source, code objet, interfaces, algorithmes, modèles de données, bases de données, designs, chartes graphiques, maquettes et documentations techniques développés par les associés, salariés, stagiaires ou prestataires dans le cadre de leur mission pour la Société ;</w:t>
      </w:r>
    </w:p>
    <w:p>
      <w:pPr>
        <w:pStyle w:val="ListBullet"/>
      </w:pPr>
      <w:r>
        <w:t>les noms de domaine, marques, logos, signes distinctifs et contenus éditoriaux créés pour le compte de la Société.</w:t>
      </w:r>
    </w:p>
    <w:p>
      <w:r>
        <w:t>Tout apport en nature de propriété intellectuelle fera l'objet d'une évaluation préalable et d'un acte de cession formel.</w:t>
      </w:r>
    </w:p>
    <w:p>
      <w:r>
        <w:rPr>
          <w:b/>
        </w:rPr>
        <w:t>Article 31 — Protection des données et confidentialité</w:t>
      </w:r>
    </w:p>
    <w:p>
      <w:r>
        <w:t>La Société s'engage à respecter les principes de protection des données personnelles applicables en République Démocratique du Congo, ainsi que les exigences contractuelles de ses utilisateurs, clients et partenaires.</w:t>
      </w:r>
    </w:p>
    <w:p>
      <w:r>
        <w:t>Les associés, dirigeants et collaborateurs sont tenus à une obligation stricte de confidentialité à l'égard des informations sensibles de la Société.</w:t>
      </w:r>
    </w:p>
    <w:p>
      <w:r>
        <w:t>---</w:t>
      </w:r>
    </w:p>
    <w:p>
      <w:pPr>
        <w:pStyle w:val="Heading2"/>
      </w:pPr>
      <w:r>
        <w:t>TITRE X — FORMALITÉS DIVERSES</w:t>
      </w:r>
    </w:p>
    <w:p>
      <w:r>
        <w:rPr>
          <w:b/>
        </w:rPr>
        <w:t>Article 32 — Dépôt légal</w:t>
      </w:r>
    </w:p>
    <w:p>
      <w:r>
        <w:t>Les présents statuts, une fois signés par tous les associés, sont déposés au **Guichet Unique de Création d'Entreprise (GUCE)**, ou, en l'absence de GUCE dans la province, au Tribunal de Commerce ou Tribunal de grande instance compétent, en vue de l'immatriculation de la Société au RCCM.</w:t>
      </w:r>
    </w:p>
    <w:p>
      <w:r>
        <w:rPr>
          <w:b/>
        </w:rPr>
        <w:t>Article 33 — Règlement d'ordre intérieur</w:t>
      </w:r>
    </w:p>
    <w:p>
      <w:r>
        <w:t>Les associés peuvent élaborer un règlement d'ordre intérieur pour compléter les présents statuts sur des questions d'organisation interne et de fonctionnement opérationnel. En cas de contradiction entre le règlement d'ordre intérieur et les présents statuts, ces derniers prévalent.</w:t>
      </w:r>
    </w:p>
    <w:p>
      <w:r>
        <w:t>---</w:t>
      </w:r>
    </w:p>
    <w:p>
      <w:r>
        <w:t>Fait à **Butembo**, le **[insérer la date]**</w:t>
      </w:r>
    </w:p>
    <w:p>
      <w:r>
        <w:t>En autant d'exemplaires originaux qu'il y a d'associés, plus un exemplaire pour les archives de la Société.</w:t>
      </w:r>
    </w:p>
    <w:p>
      <w:r>
        <w:t>---</w:t>
      </w:r>
    </w:p>
    <w:p>
      <w:r>
        <w:rPr>
          <w:b/>
        </w:rPr>
        <w:t>Signatures des associés :</w:t>
      </w:r>
    </w:p>
    <w:p>
      <w:r>
        <w:t xml:space="preserve">1. ___________________________  </w:t>
      </w:r>
    </w:p>
    <w:p>
      <w:r>
        <w:t xml:space="preserve">   Fénelon Lamsasiri</w:t>
      </w:r>
    </w:p>
    <w:p>
      <w:r>
        <w:t xml:space="preserve">2. ___________________________  </w:t>
      </w:r>
    </w:p>
    <w:p>
      <w:r>
        <w:t xml:space="preserve">   Prince Bagheni</w:t>
      </w:r>
    </w:p>
    <w:p>
      <w:r>
        <w:t xml:space="preserve">3. ___________________________  </w:t>
      </w:r>
    </w:p>
    <w:p>
      <w:r>
        <w:t xml:space="preserve">   Patricia Zamwana</w:t>
      </w:r>
    </w:p>
    <w:p>
      <w:r>
        <w:t xml:space="preserve">4. ___________________________  </w:t>
      </w:r>
    </w:p>
    <w:p>
      <w:r>
        <w:t xml:space="preserve">   Zaina Bwale Godlove</w:t>
      </w:r>
    </w:p>
    <w:p>
      <w:r>
        <w:t xml:space="preserve">5. ___________________________  </w:t>
      </w:r>
    </w:p>
    <w:p>
      <w:r>
        <w:t xml:space="preserve">   Mosengo Kihambambuka</w:t>
      </w:r>
    </w:p>
    <w:p>
      <w:r>
        <w:t>---</w:t>
      </w:r>
    </w:p>
    <w:p>
      <w:pPr>
        <w:ind w:left="360"/>
      </w:pPr>
      <w:r>
        <w:t>**Disclaimer obligatoire :** Les présents statuts sont fournis à titre indicatif et constituent une base de rédaction. Ils doivent impérativement être revus et validés par un notaire ou un avocat agréé en République Démocratique du Congo, familiarisé avec le droit OHADA et le droit congolais applicable, avant toute signature définitive ou dépôt au GUCE. L'objet social, les clauses de cession de parts et la réserve d'options nécessitent une attention juridique particulière.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