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智控能耗，慧及运维：数联网赋能通信行业，打通基站智慧管理新路径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国家数据基础设施重要载体，福州数联网深耕能源数据要素市场化应用，持续盘活全域能源数据价值，赋能垂直产业数字化提质。近期，福建亿云能源科技依托福州数联网专属数据底座，量身打造运营商基站智慧运维数据产品，现已</w:t>
      </w:r>
      <w:r>
        <w:rPr>
          <w:rFonts w:eastAsia="等线" w:ascii="Arial" w:cs="Arial" w:hAnsi="Arial"/>
          <w:sz w:val="22"/>
        </w:rPr>
        <w:t>完成福建全域3.1万座存量通信基站</w:t>
      </w:r>
      <w:r>
        <w:rPr>
          <w:rFonts w:eastAsia="等线" w:ascii="Arial" w:cs="Arial" w:hAnsi="Arial"/>
          <w:sz w:val="22"/>
        </w:rPr>
        <w:t>规模化落地，直击通信基站能效管控、现场运维两大核心难题，为</w:t>
      </w:r>
      <w:r>
        <w:rPr>
          <w:rFonts w:eastAsia="等线" w:ascii="Arial" w:cs="Arial" w:hAnsi="Arial"/>
          <w:sz w:val="22"/>
        </w:rPr>
        <w:t>省内12.7万座城乡基站</w:t>
      </w:r>
      <w:r>
        <w:rPr>
          <w:rFonts w:eastAsia="等线" w:ascii="Arial" w:cs="Arial" w:hAnsi="Arial"/>
          <w:sz w:val="22"/>
        </w:rPr>
        <w:t>全域数字化低碳运维注入硬核数字动能。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当前通信行业正式迈入存量精细化运营周期，</w:t>
      </w:r>
      <w:r>
        <w:rPr>
          <w:rFonts w:eastAsia="等线" w:ascii="Arial" w:cs="Arial" w:hAnsi="Arial"/>
          <w:sz w:val="22"/>
        </w:rPr>
        <w:t>截至2023年底全国5G基站总量突破337万座，基站电费已占到运营商全网运维总成本45%-58%，节能降本压力凸显；一方面</w:t>
      </w:r>
      <w:r>
        <w:rPr>
          <w:rFonts w:eastAsia="等线" w:ascii="Arial" w:cs="Arial" w:hAnsi="Arial"/>
          <w:sz w:val="22"/>
        </w:rPr>
        <w:t>城乡基站运维体量</w:t>
      </w:r>
      <w:r>
        <w:rPr>
          <w:rFonts w:eastAsia="等线" w:ascii="Arial" w:cs="Arial" w:hAnsi="Arial"/>
          <w:sz w:val="22"/>
        </w:rPr>
        <w:t>逐年</w:t>
      </w:r>
      <w:r>
        <w:rPr>
          <w:rFonts w:eastAsia="等线" w:ascii="Arial" w:cs="Arial" w:hAnsi="Arial"/>
          <w:sz w:val="22"/>
        </w:rPr>
        <w:t>扩容，另一方面</w:t>
      </w:r>
      <w:r>
        <w:rPr>
          <w:rFonts w:eastAsia="等线" w:ascii="Arial" w:cs="Arial" w:hAnsi="Arial"/>
          <w:sz w:val="22"/>
        </w:rPr>
        <w:t>三大运营商均下达双碳硬性指标，省内通信行业要求十四五期间单位业务能耗下降23%以上</w:t>
      </w:r>
      <w:r>
        <w:rPr>
          <w:rFonts w:eastAsia="等线" w:ascii="Arial" w:cs="Arial" w:hAnsi="Arial"/>
          <w:sz w:val="22"/>
        </w:rPr>
        <w:t>，传统封闭式运维模式早已无法适配行业合规化、低成本、智能化发展要求。此次基站运维产品落地，是行业内首次实现数据基础设施、能源科技、市场化数据交易三大领域跨界创新融合。依托福州数联网标准化确权、全流程风控、可合规交易的数据流通体系，打破企业数据孤岛壁垒，原本仅供运营商内部台账自用、闭环管理的基站能源数据，实现分级授权、安全可控、合规可溯跨域流通复用，跳出传统设备改造、人工整改的老旧提质思路，为通信行业低碳转型、精益运营提供全新落地范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当下，国内通信基站全覆盖城乡路网、居民区、郊野山地，点位布局零散、配套设备繁多、野外工况复杂，高寒、高温、密闭机房、偏远无值守站点常态化存在，</w:t>
      </w:r>
      <w:r>
        <w:rPr>
          <w:rFonts w:eastAsia="等线" w:ascii="Arial" w:cs="Arial" w:hAnsi="Arial"/>
          <w:sz w:val="22"/>
        </w:rPr>
        <w:t>全省超73%基站坐落楼顶、山林、城郊等非值守偏远区域，</w:t>
      </w:r>
      <w:r>
        <w:rPr>
          <w:rFonts w:eastAsia="等线" w:ascii="Arial" w:cs="Arial" w:hAnsi="Arial"/>
          <w:sz w:val="22"/>
        </w:rPr>
        <w:t>依靠人工台账、分散管控的传统运维模式弊端持续放大，三大行业痛点久治难愈：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一是能耗管控粗放无序。基站空调、通信主设备、交直流供电配套系统独立运行，无统一全域能耗感知端口，</w:t>
      </w:r>
      <w:r>
        <w:rPr>
          <w:rFonts w:eastAsia="等线" w:ascii="Arial" w:cs="Arial" w:hAnsi="Arial"/>
          <w:sz w:val="22"/>
        </w:rPr>
        <w:t>据工信部通信节能数据显示，凌晨0:00-6:00</w:t>
      </w:r>
      <w:r>
        <w:rPr>
          <w:rFonts w:eastAsia="等线" w:ascii="Arial" w:cs="Arial" w:hAnsi="Arial"/>
          <w:sz w:val="22"/>
        </w:rPr>
        <w:t>业务低负荷时段，</w:t>
      </w:r>
      <w:r>
        <w:rPr>
          <w:rFonts w:eastAsia="等线" w:ascii="Arial" w:cs="Arial" w:hAnsi="Arial"/>
          <w:sz w:val="22"/>
        </w:rPr>
        <w:t>全网基站</w:t>
      </w:r>
      <w:r>
        <w:rPr>
          <w:rFonts w:eastAsia="等线" w:ascii="Arial" w:cs="Arial" w:hAnsi="Arial"/>
          <w:sz w:val="22"/>
        </w:rPr>
        <w:t>设备空载运行</w:t>
      </w:r>
      <w:r>
        <w:rPr>
          <w:rFonts w:eastAsia="等线" w:ascii="Arial" w:cs="Arial" w:hAnsi="Arial"/>
          <w:sz w:val="22"/>
        </w:rPr>
        <w:t>能耗占整机能耗37%，机房空调耗能更是占到基站总能耗42%，设备</w:t>
      </w:r>
      <w:r>
        <w:rPr>
          <w:rFonts w:eastAsia="等线" w:ascii="Arial" w:cs="Arial" w:hAnsi="Arial"/>
          <w:sz w:val="22"/>
        </w:rPr>
        <w:t>恒温高耗现象常态化，能耗跑冒滴漏隐蔽性极强，零散站点能耗损耗叠加，全网基站电费刚性支出居高不下，节能整改无从下手。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是运维成本居高难降。行业沿用多年定点人工巡检模式，常规基站月度巡检不少于2次、偏远基站月度巡检1次，巡检频次固定、故障研判主观、隐患发现滞后，传统模式故障事后处置占比超65%，微小隐患极易演变为设备停机故障，抢修耗材、外勤通勤成本叠加上浮；加之省内超七成基站地处偏远高危点位，单座偏远基站单次外勤运维通勤时长超2.5小时，人力投入与运维产出严重失衡，运维人力成本年均上浮8%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是设备资产管控失准。基站能耗数据、设备工况数据、机房环境数据割裂存储于运维、电力、网管多套独立系统，数据不通、口径不一，行业通用运维模型老旧，传统模式设备隐患预判准确率不足40%，故障排查、备品备件更换完全依赖运维人员从业经验，盲目周期换件率高达52%，通信硬件资产利用率偏低，全生命周期资产管理粗放低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锚定行业全链条运维痛点，亿云能源深度依托福州数联网安全可控、确权分级、全程溯源、合规流通的专属底座能力，全域归集整合基站能耗负荷、设备运行工况、温湿度安防、供电链路等多维异构数据，打通系统数据壁垒，搭建闭环联动、自主可调的“感知—分析—决策—执行”一体化智慧运维服务体系。整套产品</w:t>
      </w:r>
      <w:r>
        <w:rPr>
          <w:rFonts w:eastAsia="等线" w:ascii="Arial" w:cs="Arial" w:hAnsi="Arial"/>
          <w:sz w:val="22"/>
        </w:rPr>
        <w:t>依托平台算法建模，</w:t>
      </w:r>
      <w:r>
        <w:rPr>
          <w:rFonts w:eastAsia="等线" w:ascii="Arial" w:cs="Arial" w:hAnsi="Arial"/>
          <w:sz w:val="22"/>
        </w:rPr>
        <w:t>可实现基站全域能耗可视化实时监控、外勤工单智能分级调度、站点分时动态节能策略自适应调控，同时全链路留存数据流转台账，满足运营商国资、电力、网信多部门合规核查要求</w:t>
      </w:r>
      <w:r>
        <w:rPr>
          <w:rFonts w:eastAsia="等线" w:ascii="Arial" w:cs="Arial" w:hAnsi="Arial"/>
          <w:sz w:val="22"/>
        </w:rPr>
        <w:t>，单站点日均数据采集频次达280余次，数据研判精准度大幅提升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省内3.1万座基站全周期规模化落地试运行，这套数智运维方案实现降本、提效、稳设备多维量化价值落地：在能耗管控层面，依托分时负荷算法联动设备启停调控，从源头遏制闲时设备无效空转，落地站点全网综合能耗压降18%-22%，单座5G基站年均节电1280度，有效压降基站用电成本；在运维管理层面，平台大数据故障预判准确率提升至84%，自动分级派发运维工单，故障平均闭环时长压缩57%，低效常态化外勤巡检频次压降62%，优化运维人力排班架构，整体外勤人力运维成本降低26%；在资产管理层面，依托设备健康度建模落实预测性维保，基站突发停机率下降70%，非计划拆机维修频次大幅减少，通信主辅设备服役寿命延长21%，实现基站资产数字化、精细化全周期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面向数字能源全域发展未来，福州数联网将持续迭代升级数据底座算力、风控、流通能力，深耕通信、园区、楼宇、工业多场景能源数据应用，</w:t>
      </w:r>
      <w:r>
        <w:rPr>
          <w:rFonts w:eastAsia="等线" w:ascii="Arial" w:cs="Arial" w:hAnsi="Arial"/>
          <w:sz w:val="22"/>
        </w:rPr>
        <w:t>计划年内新增赋能省内2万座通信基站智慧改造，</w:t>
      </w:r>
      <w:r>
        <w:rPr>
          <w:rFonts w:eastAsia="等线" w:ascii="Arial" w:cs="Arial" w:hAnsi="Arial"/>
          <w:sz w:val="22"/>
        </w:rPr>
        <w:t>携手上下游生态合作伙伴拓宽能源数据市场化落地场景，以合规数据要素赋能全行业节能降耗、精益运维，助力实体经济数字化低碳转型升级。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2026-06-12T08:11:13Z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{"Label":"1","ContentProducer":"001191110102MACQD9K64010000","ProduceID":"7650418525661006823","ReservedCode1":"","ContentPropagator":"","PropagateID":"","ReservedCode2":""}</vt:lpwstr>
  </property>
</Properties>
</file>