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福州梅园酒店中央空调冷冻水循环系统节能改造方案书</w:t>
      </w:r>
    </w:p>
    <w:p>
      <w:pPr>
        <w:spacing w:before="120" w:after="120" w:line="288" w:lineRule="auto"/>
        <w:ind w:left="0"/>
        <w:jc w:val="left"/>
      </w:pPr>
      <w:r>
        <w:rPr>
          <w:rFonts w:eastAsia="等线" w:ascii="Arial" w:cs="Arial" w:hAnsi="Arial"/>
          <w:sz w:val="22"/>
        </w:rPr>
        <w:t>一、项目基础信息</w:t>
      </w:r>
    </w:p>
    <w:p>
      <w:pPr>
        <w:spacing w:before="120" w:after="120" w:line="288" w:lineRule="auto"/>
        <w:ind w:left="0"/>
        <w:jc w:val="left"/>
      </w:pPr>
      <w:r>
        <w:rPr>
          <w:rFonts w:eastAsia="等线" w:ascii="Arial" w:cs="Arial" w:hAnsi="Arial"/>
          <w:sz w:val="22"/>
        </w:rPr>
        <w:t>项目简称：福州梅园酒店</w:t>
      </w:r>
    </w:p>
    <w:p>
      <w:pPr>
        <w:spacing w:before="120" w:after="120" w:line="288" w:lineRule="auto"/>
        <w:ind w:left="0"/>
        <w:jc w:val="left"/>
      </w:pPr>
      <w:r>
        <w:rPr>
          <w:rFonts w:eastAsia="等线" w:ascii="Arial" w:cs="Arial" w:hAnsi="Arial"/>
          <w:sz w:val="22"/>
        </w:rPr>
        <w:t>项目全称：福州梅园酒店</w:t>
      </w:r>
    </w:p>
    <w:p>
      <w:pPr>
        <w:spacing w:before="120" w:after="120" w:line="288" w:lineRule="auto"/>
        <w:ind w:left="0"/>
        <w:jc w:val="left"/>
      </w:pPr>
      <w:r>
        <w:rPr>
          <w:rFonts w:eastAsia="等线" w:ascii="Arial" w:cs="Arial" w:hAnsi="Arial"/>
          <w:sz w:val="22"/>
        </w:rPr>
        <w:t>项目负责人：</w:t>
      </w:r>
    </w:p>
    <w:p>
      <w:pPr>
        <w:spacing w:before="120" w:after="120" w:line="288" w:lineRule="auto"/>
        <w:ind w:left="0"/>
        <w:jc w:val="left"/>
      </w:pPr>
      <w:r>
        <w:rPr>
          <w:rFonts w:eastAsia="等线" w:ascii="Arial" w:cs="Arial" w:hAnsi="Arial"/>
          <w:sz w:val="22"/>
        </w:rPr>
        <w:t>联系电话：</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目 录</w:t>
      </w:r>
    </w:p>
    <w:p>
      <w:pPr>
        <w:spacing w:before="120" w:after="120" w:line="288" w:lineRule="auto"/>
        <w:ind w:left="0"/>
        <w:jc w:val="left"/>
      </w:pPr>
      <w:r>
        <w:rPr>
          <w:rFonts w:eastAsia="等线" w:ascii="Arial" w:cs="Arial" w:hAnsi="Arial"/>
          <w:sz w:val="22"/>
        </w:rPr>
        <w:t>一、概述</w:t>
      </w:r>
    </w:p>
    <w:p>
      <w:pPr>
        <w:spacing w:before="120" w:after="120" w:line="288" w:lineRule="auto"/>
        <w:ind w:left="0"/>
        <w:jc w:val="left"/>
      </w:pPr>
      <w:r>
        <w:rPr>
          <w:rFonts w:eastAsia="等线" w:ascii="Arial" w:cs="Arial" w:hAnsi="Arial"/>
          <w:sz w:val="22"/>
        </w:rPr>
        <w:t>二、中央空调冷冻水循环系统概况</w:t>
      </w:r>
    </w:p>
    <w:p>
      <w:pPr>
        <w:spacing w:before="120" w:after="120" w:line="288" w:lineRule="auto"/>
        <w:ind w:left="0"/>
        <w:jc w:val="left"/>
      </w:pPr>
      <w:r>
        <w:rPr>
          <w:rFonts w:eastAsia="等线" w:ascii="Arial" w:cs="Arial" w:hAnsi="Arial"/>
          <w:sz w:val="22"/>
        </w:rPr>
        <w:t>三、中央空调水循环系统节能原理</w:t>
      </w:r>
    </w:p>
    <w:p>
      <w:pPr>
        <w:spacing w:before="120" w:after="120" w:line="288" w:lineRule="auto"/>
        <w:ind w:left="0"/>
        <w:jc w:val="left"/>
      </w:pPr>
      <w:r>
        <w:rPr>
          <w:rFonts w:eastAsia="等线" w:ascii="Arial" w:cs="Arial" w:hAnsi="Arial"/>
          <w:sz w:val="22"/>
        </w:rPr>
        <w:t>四、节能效益分析</w:t>
      </w:r>
    </w:p>
    <w:p>
      <w:pPr>
        <w:spacing w:before="120" w:after="120" w:line="288" w:lineRule="auto"/>
        <w:ind w:left="0"/>
        <w:jc w:val="left"/>
      </w:pPr>
      <w:r>
        <w:rPr>
          <w:rFonts w:eastAsia="等线" w:ascii="Arial" w:cs="Arial" w:hAnsi="Arial"/>
          <w:sz w:val="22"/>
        </w:rPr>
        <w:t>五、改造施工方案及我司承诺</w:t>
      </w:r>
    </w:p>
    <w:p>
      <w:pPr>
        <w:spacing w:before="120" w:after="120" w:line="288" w:lineRule="auto"/>
        <w:ind w:left="0"/>
        <w:jc w:val="left"/>
      </w:pPr>
      <w:r>
        <w:rPr>
          <w:rFonts w:eastAsia="等线" w:ascii="Arial" w:cs="Arial" w:hAnsi="Arial"/>
          <w:sz w:val="22"/>
        </w:rPr>
        <w:t>六、改造合作与合同方案</w:t>
      </w:r>
    </w:p>
    <w:p>
      <w:pPr>
        <w:spacing w:before="120" w:after="120" w:line="288" w:lineRule="auto"/>
        <w:ind w:left="0"/>
        <w:jc w:val="left"/>
      </w:pPr>
      <w:r>
        <w:rPr>
          <w:rFonts w:eastAsia="等线" w:ascii="Arial" w:cs="Arial" w:hAnsi="Arial"/>
          <w:sz w:val="22"/>
        </w:rPr>
        <w:t>七、售后服务</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一、概述</w:t>
      </w:r>
      <w:bookmarkEnd w:id="0"/>
    </w:p>
    <w:p>
      <w:pPr>
        <w:spacing w:before="120" w:after="120" w:line="288" w:lineRule="auto"/>
        <w:ind w:left="0"/>
        <w:jc w:val="left"/>
      </w:pPr>
      <w:r>
        <w:rPr>
          <w:rFonts w:eastAsia="等线" w:ascii="Arial" w:cs="Arial" w:hAnsi="Arial"/>
          <w:sz w:val="22"/>
        </w:rPr>
        <w:t>中央空调系统现已广泛应用于商用建筑、公共场馆及高端楼宇，是调控室内温度、湿度、空气洁净度，打造合规舒适室内环境的核心机电配套系统。目前高端酒店、商业综合体、写字楼、文体场馆、工业洁净车间等大中型建筑，均配套水冷式中央空调系统，用于提升人居舒适度、保障经营服务品质、实现集中冷暖供给。该系统属于建筑核心高耗能设备，整体耗电量占建筑总用电量50%以上，常年运行能耗成本居高不下，是酒店运营能耗管控的重点板块。</w:t>
      </w:r>
    </w:p>
    <w:p>
      <w:pPr>
        <w:spacing w:before="120" w:after="120" w:line="288" w:lineRule="auto"/>
        <w:ind w:left="0"/>
        <w:jc w:val="left"/>
      </w:pPr>
      <w:r>
        <w:rPr>
          <w:rFonts w:eastAsia="等线" w:ascii="Arial" w:cs="Arial" w:hAnsi="Arial"/>
          <w:sz w:val="22"/>
        </w:rPr>
        <w:t>现阶段中央空调设计标准均按照全年极端最高负荷叠加安全余量选型配置，但酒店全年制冷工况下，机组满负荷运行时长仅十余天，全年超90%运行时段机组负载低于70%。现有系统运行痛点明确：中央空调主机可根据室外气温、室内负荷自动变频降载、启停调节，但配套冷却泵、冷冻水泵为工频定速运行模式，无法跟随主机负荷联动调速，全年近乎100%工频满负荷运转，造成无效能耗浪费，同时加剧水泵、管路磨损，降低中央空调整体运行稳定性。</w:t>
      </w:r>
    </w:p>
    <w:p>
      <w:pPr>
        <w:spacing w:before="120" w:after="120" w:line="288" w:lineRule="auto"/>
        <w:ind w:left="0"/>
        <w:jc w:val="left"/>
      </w:pPr>
      <w:r>
        <w:rPr>
          <w:rFonts w:eastAsia="等线" w:ascii="Arial" w:cs="Arial" w:hAnsi="Arial"/>
          <w:sz w:val="22"/>
        </w:rPr>
        <w:t>依托成熟矢量变频联动控制、物联网AI算力调控技术，通过加装专属能耗智控系统，实现水泵软启动、负荷联动变频调速，精准匹配主机水循环流量需求。改造后可稳定保障客房、公区室内恒温舒适度，保障空调系统平稳低噪运行，项目实测综合节电率可达40%-60%，可长效降低酒店空调运维用电成本，经济效益落地性极强。</w:t>
      </w:r>
    </w:p>
    <w:p>
      <w:pPr>
        <w:pStyle w:val="1"/>
        <w:spacing w:before="380" w:after="140" w:line="288" w:lineRule="auto"/>
        <w:ind w:left="0"/>
        <w:jc w:val="left"/>
        <w:outlineLvl w:val="0"/>
      </w:pPr>
      <w:bookmarkStart w:name="heading_1" w:id="1"/>
      <w:r>
        <w:rPr>
          <w:rFonts w:eastAsia="等线" w:ascii="Arial" w:cs="Arial" w:hAnsi="Arial"/>
          <w:b w:val="true"/>
          <w:sz w:val="36"/>
        </w:rPr>
        <w:t>二、中央空调冷冻水循环系统概况</w:t>
      </w:r>
      <w:bookmarkEnd w:id="1"/>
    </w:p>
    <w:p>
      <w:pPr>
        <w:spacing w:before="120" w:after="120" w:line="288" w:lineRule="auto"/>
        <w:ind w:left="0"/>
        <w:jc w:val="left"/>
      </w:pPr>
      <w:r>
        <w:rPr>
          <w:rFonts w:eastAsia="等线" w:ascii="Arial" w:cs="Arial" w:hAnsi="Arial"/>
          <w:sz w:val="22"/>
        </w:rPr>
        <w:t>本项目酒店中央空调采用水冷螺杆式制冷主机，主机自带负荷自适应调控模块，可根据室内冷热负荷自动增减机组运行台数、调节机组出力，主机本体具备基础节能运行能力。</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额定功率(千瓦)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常用数量(台)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备用数量(台)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合计改造功率(千瓦)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冷却循环水泵电机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预计4300小时</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冷冻循环水泵电机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平均电价0.75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总计改造功率(千瓦)</w:t>
            </w:r>
          </w:p>
        </w:tc>
        <w:tc>
          <w:tcPr>
            <w:tcW w:w="69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w:t>
            </w: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现有系统运行短板：中央空调主机可随环境温度、室内负荷自动降载、停机休眠，但水循环配套冷却、冷冻水泵工频联动运行，只要主机通电开机，水泵即保持工频满负荷不间断运行，无负荷自适应调速能力，无效能耗损耗量大。</w:t>
      </w:r>
    </w:p>
    <w:p>
      <w:pPr>
        <w:pStyle w:val="1"/>
        <w:spacing w:before="380" w:after="140" w:line="288" w:lineRule="auto"/>
        <w:ind w:left="0"/>
        <w:jc w:val="left"/>
        <w:outlineLvl w:val="0"/>
      </w:pPr>
      <w:bookmarkStart w:name="heading_2" w:id="2"/>
      <w:r>
        <w:rPr>
          <w:rFonts w:eastAsia="等线" w:ascii="Arial" w:cs="Arial" w:hAnsi="Arial"/>
          <w:b w:val="true"/>
          <w:sz w:val="36"/>
        </w:rPr>
        <w:t>三、中央空调水循环系统节能原理</w:t>
      </w:r>
      <w:bookmarkEnd w:id="2"/>
    </w:p>
    <w:p>
      <w:pPr>
        <w:spacing w:before="120" w:after="120" w:line="288" w:lineRule="auto"/>
        <w:ind w:left="0"/>
        <w:jc w:val="left"/>
      </w:pPr>
      <w:r>
        <w:rPr>
          <w:rFonts w:eastAsia="等线" w:ascii="Arial" w:cs="Arial" w:hAnsi="Arial"/>
          <w:sz w:val="22"/>
        </w:rPr>
        <w:t>（一）机组设计逻辑</w:t>
      </w:r>
    </w:p>
    <w:p>
      <w:pPr>
        <w:spacing w:before="120" w:after="120" w:line="288" w:lineRule="auto"/>
        <w:ind w:left="0"/>
        <w:jc w:val="left"/>
      </w:pPr>
      <w:r>
        <w:rPr>
          <w:rFonts w:eastAsia="等线" w:ascii="Arial" w:cs="Arial" w:hAnsi="Arial"/>
          <w:sz w:val="22"/>
        </w:rPr>
        <w:t>1.中央空调制冷、制热机组均按照建筑全年极端峰值冷热负荷选型设计，设备参数预留安全余量，适配极限工况使用；</w:t>
      </w:r>
    </w:p>
    <w:p>
      <w:pPr>
        <w:spacing w:before="120" w:after="120" w:line="288" w:lineRule="auto"/>
        <w:ind w:left="0"/>
        <w:jc w:val="left"/>
      </w:pPr>
      <w:r>
        <w:rPr>
          <w:rFonts w:eastAsia="等线" w:ascii="Arial" w:cs="Arial" w:hAnsi="Arial"/>
          <w:sz w:val="22"/>
        </w:rPr>
        <w:t>2.配套冷却、冷冻水泵电机同步按照峰值水循环流量选型，匹配工频标准电机，额定功率固定不可调节；</w:t>
      </w:r>
    </w:p>
    <w:p>
      <w:pPr>
        <w:spacing w:before="120" w:after="120" w:line="288" w:lineRule="auto"/>
        <w:ind w:left="0"/>
        <w:jc w:val="left"/>
      </w:pPr>
      <w:r>
        <w:rPr>
          <w:rFonts w:eastAsia="等线" w:ascii="Arial" w:cs="Arial" w:hAnsi="Arial"/>
          <w:sz w:val="22"/>
        </w:rPr>
        <w:t>3.原有工频电机无智能调控模块，无法根据室外环境温度、管路回水温度、主机运行电流、实时负荷动态调节输出功率，运行功率恒定，低负荷工况下产生大量冗余电能损耗。</w:t>
      </w:r>
    </w:p>
    <w:p>
      <w:pPr>
        <w:spacing w:before="120" w:after="120" w:line="288" w:lineRule="auto"/>
        <w:ind w:left="0"/>
        <w:jc w:val="left"/>
      </w:pPr>
      <w:r>
        <w:rPr>
          <w:rFonts w:eastAsia="等线" w:ascii="Arial" w:cs="Arial" w:hAnsi="Arial"/>
          <w:sz w:val="22"/>
        </w:rPr>
        <w:t>（二）AI智控节能运行逻辑</w:t>
      </w:r>
    </w:p>
    <w:p>
      <w:pPr>
        <w:spacing w:before="120" w:after="120" w:line="288" w:lineRule="auto"/>
        <w:ind w:left="0"/>
        <w:jc w:val="left"/>
      </w:pPr>
      <w:r>
        <w:rPr>
          <w:rFonts w:eastAsia="等线" w:ascii="Arial" w:cs="Arial" w:hAnsi="Arial"/>
          <w:sz w:val="22"/>
        </w:rPr>
        <w:t>1.亿云（福建）能源科技有限公司自研AI能耗智控系统，采用无损施工方式，在冷水机组主控电源柜、冷却进出水管、冷冻进出水管外壁加装高精度采集终端，全天候采集机组电流电压、管路回水温度、室外环境温湿度、室内负荷等多维运行数据。依托云端物联网后台算力研判建模，在百分百保障酒店客房、大堂公区室内舒适度、空调制冷换热效率、酒店服务品质不变的前提下，联动执行模块动态微调水泵运行功耗、水循环流量，适配主机实时负荷，实现最优节能运行工况；</w:t>
      </w:r>
    </w:p>
    <w:p>
      <w:pPr>
        <w:spacing w:before="120" w:after="120" w:line="288" w:lineRule="auto"/>
        <w:ind w:left="0"/>
        <w:jc w:val="left"/>
      </w:pPr>
      <w:r>
        <w:rPr>
          <w:rFonts w:eastAsia="等线" w:ascii="Arial" w:cs="Arial" w:hAnsi="Arial"/>
          <w:sz w:val="22"/>
        </w:rPr>
        <w:t>2.AI能耗智控系统与中央空调主机为主从联动管控模式，仅接收主机负荷指令适配水泵工况，不篡改、不干预、不控制中央空调主机原有运行程序、保护参数及自控逻辑，不影响主机原厂质保。</w:t>
      </w:r>
    </w:p>
    <w:p>
      <w:pPr>
        <w:pStyle w:val="1"/>
        <w:spacing w:before="380" w:after="140" w:line="288" w:lineRule="auto"/>
        <w:ind w:left="0"/>
        <w:jc w:val="left"/>
        <w:outlineLvl w:val="0"/>
      </w:pPr>
      <w:bookmarkStart w:name="heading_3" w:id="3"/>
      <w:r>
        <w:rPr>
          <w:rFonts w:eastAsia="等线" w:ascii="Arial" w:cs="Arial" w:hAnsi="Arial"/>
          <w:b w:val="true"/>
          <w:sz w:val="36"/>
        </w:rPr>
        <w:t>四、节能效益分析</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4.1 改造前年耗电分析</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改造功率 (千瓦)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(时/年) 开机时长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(度/年) 总耗电</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预估电价 (元)</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(元) 小计</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冷却循环水泵电机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318200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238650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冷冻循环水泵电机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258000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193500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每年总耗电合计</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约58 万度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每年需要 电费合计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约43 万元</w:t>
            </w:r>
          </w:p>
        </w:tc>
      </w:tr>
    </w:tbl>
    <w:p>
      <w:pPr>
        <w:pStyle w:val="2"/>
        <w:spacing w:before="320" w:after="120" w:line="288" w:lineRule="auto"/>
        <w:ind w:left="0"/>
        <w:jc w:val="left"/>
        <w:outlineLvl w:val="1"/>
      </w:pPr>
      <w:bookmarkStart w:name="heading_5" w:id="5"/>
      <w:r>
        <w:rPr>
          <w:rFonts w:eastAsia="等线" w:ascii="Arial" w:cs="Arial" w:hAnsi="Arial"/>
          <w:b w:val="true"/>
          <w:sz w:val="32"/>
        </w:rPr>
        <w:t>4.2 改造后年节能预算</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改造功率 (千瓦)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(时/年) 开机时长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年均约节电率</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(度/年) 节省电量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预估电价 (元)</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(元) 节约小计</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冷却循环水泵电机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127280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95460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冷冻循环水泵电机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103200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77440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每年预计总节电合计</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约23 万度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每年预计节约电费合计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约17 万元</w:t>
            </w:r>
          </w:p>
        </w:tc>
      </w:tr>
    </w:tbl>
    <w:p>
      <w:pPr>
        <w:pStyle w:val="2"/>
        <w:spacing w:before="320" w:after="120" w:line="288" w:lineRule="auto"/>
        <w:ind w:left="0"/>
        <w:jc w:val="left"/>
        <w:outlineLvl w:val="1"/>
      </w:pPr>
      <w:bookmarkStart w:name="heading_6" w:id="6"/>
      <w:r>
        <w:rPr>
          <w:rFonts w:eastAsia="等线" w:ascii="Arial" w:cs="Arial" w:hAnsi="Arial"/>
          <w:b w:val="true"/>
          <w:sz w:val="32"/>
        </w:rPr>
        <w:t>4.3 节能保底承诺及系统附加优势</w:t>
      </w:r>
      <w:bookmarkEnd w:id="6"/>
    </w:p>
    <w:p>
      <w:pPr>
        <w:spacing w:before="120" w:after="120" w:line="288" w:lineRule="auto"/>
        <w:ind w:left="0"/>
        <w:jc w:val="left"/>
      </w:pPr>
      <w:r>
        <w:rPr>
          <w:rFonts w:eastAsia="等线" w:ascii="Arial" w:cs="Arial" w:hAnsi="Arial"/>
          <w:sz w:val="22"/>
        </w:rPr>
        <w:t>改造保底承诺：项目加装亿云（福建）能源科技有限公司AI能耗智控系统后，整套水循环系统年均综合节电率保底≥30%。参考2026年同业态星级酒店落地项目后台运行数据，系统日均稳定节电率可达33%以上；若项目整体年均节电率未达标，甲方有权要求亿云（福建）能源科技有限公司无条件拆除整套节能智控设备，完整复原空调水循环原有工频运行系统，甲方无需承担任何拆除及复原费用。</w:t>
      </w:r>
    </w:p>
    <w:p>
      <w:pPr>
        <w:spacing w:before="120" w:after="120" w:line="288" w:lineRule="auto"/>
        <w:ind w:left="0"/>
        <w:jc w:val="left"/>
      </w:pPr>
      <w:r>
        <w:rPr>
          <w:rFonts w:eastAsia="等线" w:ascii="Arial" w:cs="Arial" w:hAnsi="Arial"/>
          <w:sz w:val="22"/>
        </w:rPr>
        <w:t>本AI能耗智控系统配套功能优势如下：</w:t>
      </w:r>
    </w:p>
    <w:p>
      <w:pPr>
        <w:numPr>
          <w:numId w:val="1"/>
        </w:numPr>
        <w:spacing w:before="120" w:after="120" w:line="288" w:lineRule="auto"/>
        <w:ind w:left="0"/>
        <w:jc w:val="left"/>
      </w:pPr>
      <w:r>
        <w:rPr>
          <w:rFonts w:eastAsia="等线" w:ascii="Arial" w:cs="Arial" w:hAnsi="Arial"/>
          <w:sz w:val="22"/>
        </w:rPr>
        <w:t>双模式切换：支持全自动节能运行、故障旁路工频运行两种模式，应急工况无缝切换，保障空调不间断供冷；</w:t>
      </w:r>
    </w:p>
    <w:p>
      <w:pPr>
        <w:numPr>
          <w:numId w:val="2"/>
        </w:numPr>
        <w:spacing w:before="120" w:after="120" w:line="288" w:lineRule="auto"/>
        <w:ind w:left="0"/>
        <w:jc w:val="left"/>
      </w:pPr>
      <w:r>
        <w:rPr>
          <w:rFonts w:eastAsia="等线" w:ascii="Arial" w:cs="Arial" w:hAnsi="Arial"/>
          <w:sz w:val="22"/>
        </w:rPr>
        <w:t>电机全域防护：内置电机绕组超温、过载、缺相、过压多重电气保护，降低电机故障烧毁风险；</w:t>
      </w:r>
    </w:p>
    <w:p>
      <w:pPr>
        <w:numPr>
          <w:numId w:val="3"/>
        </w:numPr>
        <w:spacing w:before="120" w:after="120" w:line="288" w:lineRule="auto"/>
        <w:ind w:left="0"/>
        <w:jc w:val="left"/>
      </w:pPr>
      <w:r>
        <w:rPr>
          <w:rFonts w:eastAsia="等线" w:ascii="Arial" w:cs="Arial" w:hAnsi="Arial"/>
          <w:sz w:val="22"/>
        </w:rPr>
        <w:t>机组轮换管控：智能调度常用泵、备用泵分时轮换启停，均衡设备损耗，避免单台设备长期高强度运行；</w:t>
      </w:r>
    </w:p>
    <w:p>
      <w:pPr>
        <w:numPr>
          <w:numId w:val="4"/>
        </w:numPr>
        <w:spacing w:before="120" w:after="120" w:line="288" w:lineRule="auto"/>
        <w:ind w:left="0"/>
        <w:jc w:val="left"/>
      </w:pPr>
      <w:r>
        <w:rPr>
          <w:rFonts w:eastAsia="等线" w:ascii="Arial" w:cs="Arial" w:hAnsi="Arial"/>
          <w:sz w:val="22"/>
        </w:rPr>
        <w:t>延长设备寿命：降低水泵启停冲击、工频震动及管路水锤效应，有效延长水泵、电机、管路阀门使用寿命；</w:t>
      </w:r>
    </w:p>
    <w:p>
      <w:pPr>
        <w:numPr>
          <w:numId w:val="5"/>
        </w:numPr>
        <w:spacing w:before="120" w:after="120" w:line="288" w:lineRule="auto"/>
        <w:ind w:left="0"/>
        <w:jc w:val="left"/>
      </w:pPr>
      <w:r>
        <w:rPr>
          <w:rFonts w:eastAsia="等线" w:ascii="Arial" w:cs="Arial" w:hAnsi="Arial"/>
          <w:sz w:val="22"/>
        </w:rPr>
        <w:t>优化机房环境：变频低速运行有效降低水泵机械运转噪音，优化制冷机房作业环境；</w:t>
      </w:r>
    </w:p>
    <w:p>
      <w:pPr>
        <w:numPr>
          <w:numId w:val="6"/>
        </w:numPr>
        <w:spacing w:before="120" w:after="120" w:line="288" w:lineRule="auto"/>
        <w:ind w:left="0"/>
        <w:jc w:val="left"/>
      </w:pPr>
      <w:r>
        <w:rPr>
          <w:rFonts w:eastAsia="等线" w:ascii="Arial" w:cs="Arial" w:hAnsi="Arial"/>
          <w:sz w:val="22"/>
        </w:rPr>
        <w:t>散热优化调控：降低电机工频运行发热量，稳定机房环境温度，减少机房散热辅机能耗；</w:t>
      </w:r>
    </w:p>
    <w:p>
      <w:pPr>
        <w:numPr>
          <w:numId w:val="7"/>
        </w:numPr>
        <w:spacing w:before="120" w:after="120" w:line="288" w:lineRule="auto"/>
        <w:ind w:left="0"/>
        <w:jc w:val="left"/>
      </w:pPr>
      <w:r>
        <w:rPr>
          <w:rFonts w:eastAsia="等线" w:ascii="Arial" w:cs="Arial" w:hAnsi="Arial"/>
          <w:sz w:val="22"/>
        </w:rPr>
        <w:t>原厂系统利旧：完整保留酒店原有水泵控制柜、自控线路、运维操作逻辑，兼容原有运维习惯，无资源闲置浪费；</w:t>
      </w:r>
    </w:p>
    <w:p>
      <w:pPr>
        <w:numPr>
          <w:numId w:val="8"/>
        </w:numPr>
        <w:spacing w:before="120" w:after="120" w:line="288" w:lineRule="auto"/>
        <w:ind w:left="0"/>
        <w:jc w:val="left"/>
      </w:pPr>
      <w:r>
        <w:rPr>
          <w:rFonts w:eastAsia="等线" w:ascii="Arial" w:cs="Arial" w:hAnsi="Arial"/>
          <w:sz w:val="22"/>
        </w:rPr>
        <w:t>定制化适配：可结合酒店机房布局、水泵参数、经营时段、客房入住负荷，定制专属节能调控策略。</w:t>
      </w:r>
    </w:p>
    <w:p>
      <w:pPr>
        <w:pStyle w:val="1"/>
        <w:spacing w:before="380" w:after="140" w:line="288" w:lineRule="auto"/>
        <w:ind w:left="0"/>
        <w:jc w:val="left"/>
        <w:outlineLvl w:val="0"/>
      </w:pPr>
      <w:bookmarkStart w:name="heading_7" w:id="7"/>
      <w:r>
        <w:rPr>
          <w:rFonts w:eastAsia="等线" w:ascii="Arial" w:cs="Arial" w:hAnsi="Arial"/>
          <w:b w:val="true"/>
          <w:sz w:val="36"/>
        </w:rPr>
        <w:t>五、改造施工方案及我司承诺</w:t>
      </w:r>
      <w:bookmarkEnd w:id="7"/>
    </w:p>
    <w:p>
      <w:pPr>
        <w:pStyle w:val="2"/>
        <w:spacing w:before="320" w:after="120" w:line="288" w:lineRule="auto"/>
        <w:ind w:left="0"/>
        <w:jc w:val="left"/>
        <w:outlineLvl w:val="1"/>
      </w:pPr>
      <w:bookmarkStart w:name="heading_8" w:id="8"/>
      <w:r>
        <w:rPr>
          <w:rFonts w:eastAsia="等线" w:ascii="Arial" w:cs="Arial" w:hAnsi="Arial"/>
          <w:b w:val="true"/>
          <w:sz w:val="32"/>
        </w:rPr>
        <w:t>5.1 改造施工方案</w:t>
      </w:r>
      <w:bookmarkEnd w:id="8"/>
    </w:p>
    <w:p>
      <w:pPr>
        <w:spacing w:before="120" w:after="120" w:line="288" w:lineRule="auto"/>
        <w:ind w:left="0"/>
        <w:jc w:val="left"/>
      </w:pPr>
      <w:r>
        <w:rPr>
          <w:rFonts w:eastAsia="等线" w:ascii="Arial" w:cs="Arial" w:hAnsi="Arial"/>
          <w:sz w:val="22"/>
        </w:rPr>
        <w:t>亿云（福建）能源科技有限公司本次提供的中央空调冷冻水循环节能自控设备，全程采用外壁无损加装、电路旁路接驳施工工艺，不切割原有管路、不改动主机主控程序、不破坏原有配电结构，全程不影响酒店中央空调日常营业运行。系统可实时联动主机负荷动态调节水循环流量，闭环保障主机换热所需最低水压差、额定循环水量，全天候保障水泵最优节能工况运行。</w:t>
      </w:r>
    </w:p>
    <w:p>
      <w:pPr>
        <w:spacing w:before="120" w:after="120" w:line="288" w:lineRule="auto"/>
        <w:ind w:left="0"/>
        <w:jc w:val="left"/>
      </w:pPr>
      <w:r>
        <w:rPr>
          <w:rFonts w:eastAsia="等线" w:ascii="Arial" w:cs="Arial" w:hAnsi="Arial"/>
          <w:sz w:val="22"/>
        </w:rPr>
        <w:t>项目改造点位：仅在冷却、冷冻水泵电机前端旁路加装节能变频控制柜、独立计量管控柜。独立计量柜分区计量改造前后水泵用电量，数据可溯源、可核验，直观核算项目真实节电率，作为双方节能分成结算依据。</w:t>
      </w:r>
    </w:p>
    <w:p>
      <w:pPr>
        <w:pStyle w:val="2"/>
        <w:spacing w:before="320" w:after="120" w:line="288" w:lineRule="auto"/>
        <w:ind w:left="0"/>
        <w:jc w:val="left"/>
        <w:outlineLvl w:val="1"/>
      </w:pPr>
      <w:bookmarkStart w:name="heading_9" w:id="9"/>
      <w:r>
        <w:rPr>
          <w:rFonts w:eastAsia="等线" w:ascii="Arial" w:cs="Arial" w:hAnsi="Arial"/>
          <w:b w:val="true"/>
          <w:sz w:val="32"/>
        </w:rPr>
        <w:t>5.2 我司权责承诺</w:t>
      </w:r>
      <w:bookmarkEnd w:id="9"/>
    </w:p>
    <w:p>
      <w:pPr>
        <w:spacing w:before="120" w:after="120" w:line="288" w:lineRule="auto"/>
        <w:ind w:left="0"/>
        <w:jc w:val="left"/>
      </w:pPr>
      <w:r>
        <w:rPr>
          <w:rFonts w:eastAsia="等线" w:ascii="Arial" w:cs="Arial" w:hAnsi="Arial"/>
          <w:sz w:val="22"/>
        </w:rPr>
        <w:t>（一）施工运维承诺：本次节能改造为无损旁路改造，施工及运维全程不干扰酒店空调系统正常营业使用；若经第三方机电鉴定机构核验，因我方智控设备故障、程序缺陷造成酒店原有水泵、电机、主机、配电设备损坏，由亿云（福建）能源科技有限公司全额承担设备维修、更换及人工费用，甲方无需支付任何费用；已结算完成的节能分成款项不予退还。</w:t>
      </w:r>
    </w:p>
    <w:p>
      <w:pPr>
        <w:spacing w:before="120" w:after="120" w:line="288" w:lineRule="auto"/>
        <w:ind w:left="0"/>
        <w:jc w:val="left"/>
      </w:pPr>
      <w:r>
        <w:rPr>
          <w:rFonts w:eastAsia="等线" w:ascii="Arial" w:cs="Arial" w:hAnsi="Arial"/>
          <w:sz w:val="22"/>
        </w:rPr>
        <w:t>（二）用电安全承诺：系统节能变频运行期间，单台水泵电机运行电流，不得高于改造前工频额定运行电流，保障配电线路负荷安全。</w:t>
      </w:r>
    </w:p>
    <w:p>
      <w:pPr>
        <w:spacing w:before="120" w:after="120" w:line="288" w:lineRule="auto"/>
        <w:ind w:left="0"/>
        <w:jc w:val="left"/>
      </w:pPr>
      <w:r>
        <w:rPr>
          <w:rFonts w:eastAsia="等线" w:ascii="Arial" w:cs="Arial" w:hAnsi="Arial"/>
          <w:sz w:val="22"/>
        </w:rPr>
        <w:t>（三）应急运维承诺：每套节能控制柜标配手动工频旁路切换功能，节能系统故障时，运维人员可一键切换至原有工频模式，同步联动备用机组投入运行，零延时恢复原有工况。</w:t>
      </w:r>
    </w:p>
    <w:p>
      <w:pPr>
        <w:pStyle w:val="1"/>
        <w:spacing w:before="380" w:after="140" w:line="288" w:lineRule="auto"/>
        <w:ind w:left="0"/>
        <w:jc w:val="left"/>
        <w:outlineLvl w:val="0"/>
      </w:pPr>
      <w:bookmarkStart w:name="heading_10" w:id="10"/>
      <w:r>
        <w:rPr>
          <w:rFonts w:eastAsia="等线" w:ascii="Arial" w:cs="Arial" w:hAnsi="Arial"/>
          <w:b w:val="true"/>
          <w:sz w:val="36"/>
        </w:rPr>
        <w:t>六、改造合作与合同方案</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6.1 项目出资模式</w:t>
      </w:r>
      <w:bookmarkEnd w:id="11"/>
    </w:p>
    <w:p>
      <w:pPr>
        <w:spacing w:before="120" w:after="120" w:line="288" w:lineRule="auto"/>
        <w:ind w:left="0"/>
        <w:jc w:val="left"/>
      </w:pPr>
      <w:r>
        <w:rPr>
          <w:rFonts w:eastAsia="等线" w:ascii="Arial" w:cs="Arial" w:hAnsi="Arial"/>
          <w:sz w:val="22"/>
        </w:rPr>
        <w:t>本项目全套节能设备、施工耗材、安装调试、后期维保全部费用由亿云（福建）能源科技有限公司全额出资投入；依托独立智能电表分时计量数据，对比改造前后水泵同期用电量，核算月度实际节电度数，作为节能分成结算依据。</w:t>
      </w:r>
    </w:p>
    <w:p>
      <w:pPr>
        <w:pStyle w:val="2"/>
        <w:spacing w:before="320" w:after="120" w:line="288" w:lineRule="auto"/>
        <w:ind w:left="0"/>
        <w:jc w:val="left"/>
        <w:outlineLvl w:val="1"/>
      </w:pPr>
      <w:bookmarkStart w:name="heading_12" w:id="12"/>
      <w:r>
        <w:rPr>
          <w:rFonts w:eastAsia="等线" w:ascii="Arial" w:cs="Arial" w:hAnsi="Arial"/>
          <w:b w:val="true"/>
          <w:sz w:val="32"/>
        </w:rPr>
        <w:t>6.2 节能效益分润及合作期限</w:t>
      </w:r>
      <w:bookmarkEnd w:id="12"/>
    </w:p>
    <w:p>
      <w:pPr>
        <w:spacing w:before="120" w:after="120" w:line="288" w:lineRule="auto"/>
        <w:ind w:left="0"/>
        <w:jc w:val="left"/>
      </w:pPr>
      <w:r>
        <w:rPr>
          <w:rFonts w:eastAsia="等线" w:ascii="Arial" w:cs="Arial" w:hAnsi="Arial"/>
          <w:sz w:val="22"/>
        </w:rPr>
        <w:t>第一阶段：单台节能系统累计有效节能运行时长0-30000小时，节能电费分成比例：亿云（福建）能源科技有限公司80%，福州梅园酒店20%，各水泵系统独立计量、独立结算；</w:t>
      </w:r>
    </w:p>
    <w:p>
      <w:pPr>
        <w:spacing w:before="120" w:after="120" w:line="288" w:lineRule="auto"/>
        <w:ind w:left="0"/>
        <w:jc w:val="left"/>
      </w:pPr>
      <w:r>
        <w:rPr>
          <w:rFonts w:eastAsia="等线" w:ascii="Arial" w:cs="Arial" w:hAnsi="Arial"/>
          <w:sz w:val="22"/>
        </w:rPr>
        <w:t>第二阶段：单台节能系统累计有效节能运行时长30000-60000小时，节能电费分成比例：亿云（福建）能源科技有限公司50%，福州梅园酒店50%，各水泵系统独立计量、独立结算；</w:t>
      </w:r>
    </w:p>
    <w:p>
      <w:pPr>
        <w:spacing w:before="120" w:after="120" w:line="288" w:lineRule="auto"/>
        <w:ind w:left="0"/>
        <w:jc w:val="left"/>
      </w:pPr>
      <w:r>
        <w:rPr>
          <w:rFonts w:eastAsia="等线" w:ascii="Arial" w:cs="Arial" w:hAnsi="Arial"/>
          <w:sz w:val="22"/>
        </w:rPr>
        <w:t>系统有效节能运行累计时长，以亿云（福建）能源科技有限公司出具、双方签字确认的《月度节能效益结算单》后台溯源数据为准。</w:t>
      </w:r>
    </w:p>
    <w:p>
      <w:pPr>
        <w:spacing w:before="120" w:after="120" w:line="288" w:lineRule="auto"/>
        <w:ind w:left="0"/>
        <w:jc w:val="left"/>
      </w:pPr>
      <w:r>
        <w:rPr>
          <w:rFonts w:eastAsia="等线" w:ascii="Arial" w:cs="Arial" w:hAnsi="Arial"/>
          <w:sz w:val="22"/>
        </w:rPr>
        <w:t>单台系统累计节能运行时长满60000小时后合作规则：一是双方有意续约，继续按照第二阶段五五分成比例履约合作；二是任意一方终止合作，需提前30日出具书面终止告知函，合作即刻终止，亿云（福建）能源科技有限公司自主拆除全套节能设备，福州梅园酒店无条件配合现场拆机作业。</w:t>
      </w:r>
    </w:p>
    <w:p>
      <w:pPr>
        <w:pStyle w:val="2"/>
        <w:spacing w:before="320" w:after="120" w:line="288" w:lineRule="auto"/>
        <w:ind w:left="0"/>
        <w:jc w:val="left"/>
        <w:outlineLvl w:val="1"/>
      </w:pPr>
      <w:bookmarkStart w:name="heading_13" w:id="13"/>
      <w:r>
        <w:rPr>
          <w:rFonts w:eastAsia="等线" w:ascii="Arial" w:cs="Arial" w:hAnsi="Arial"/>
          <w:b w:val="true"/>
          <w:sz w:val="32"/>
        </w:rPr>
        <w:t>6.3 资产归属与结算规则</w:t>
      </w:r>
      <w:bookmarkEnd w:id="13"/>
    </w:p>
    <w:p>
      <w:pPr>
        <w:spacing w:before="120" w:after="120" w:line="288" w:lineRule="auto"/>
        <w:ind w:left="0"/>
        <w:jc w:val="left"/>
      </w:pPr>
      <w:r>
        <w:rPr>
          <w:rFonts w:eastAsia="等线" w:ascii="Arial" w:cs="Arial" w:hAnsi="Arial"/>
          <w:sz w:val="22"/>
        </w:rPr>
        <w:t>项目AI能耗智控全套设备所有权归属亿云（福建）能源科技有限公司；项目节约电费实行月度对账、月度结清模式。</w:t>
      </w:r>
    </w:p>
    <w:p>
      <w:pPr>
        <w:pStyle w:val="1"/>
        <w:spacing w:before="380" w:after="140" w:line="288" w:lineRule="auto"/>
        <w:ind w:left="0"/>
        <w:jc w:val="left"/>
        <w:outlineLvl w:val="0"/>
      </w:pPr>
      <w:bookmarkStart w:name="heading_14" w:id="14"/>
      <w:r>
        <w:rPr>
          <w:rFonts w:eastAsia="等线" w:ascii="Arial" w:cs="Arial" w:hAnsi="Arial"/>
          <w:b w:val="true"/>
          <w:sz w:val="36"/>
        </w:rPr>
        <w:t>七、售后服务</w:t>
      </w:r>
      <w:bookmarkEnd w:id="14"/>
    </w:p>
    <w:p>
      <w:pPr>
        <w:numPr>
          <w:numId w:val="9"/>
        </w:numPr>
        <w:spacing w:before="120" w:after="120" w:line="288" w:lineRule="auto"/>
        <w:ind w:left="0"/>
        <w:jc w:val="left"/>
      </w:pPr>
      <w:r>
        <w:rPr>
          <w:rFonts w:eastAsia="等线" w:ascii="Arial" w:cs="Arial" w:hAnsi="Arial"/>
          <w:sz w:val="22"/>
        </w:rPr>
        <w:t>维保权责：项目全周期设备维修费、配件更换费、系统升级费全部由亿云（福建）能源科技有限公司承担；</w:t>
      </w:r>
    </w:p>
    <w:p>
      <w:pPr>
        <w:numPr>
          <w:numId w:val="10"/>
        </w:numPr>
        <w:spacing w:before="120" w:after="120" w:line="288" w:lineRule="auto"/>
        <w:ind w:left="0"/>
        <w:jc w:val="left"/>
      </w:pPr>
      <w:r>
        <w:rPr>
          <w:rFonts w:eastAsia="等线" w:ascii="Arial" w:cs="Arial" w:hAnsi="Arial"/>
          <w:sz w:val="22"/>
        </w:rPr>
        <w:t>交付服务：项目安装调试完工后，免费面向酒店机房运维人员开展实操、应急切换、后台查看专项培训，实行一站式交钥匙交付服务；</w:t>
      </w:r>
    </w:p>
    <w:p>
      <w:pPr>
        <w:numPr>
          <w:numId w:val="11"/>
        </w:numPr>
        <w:spacing w:before="120" w:after="120" w:line="288" w:lineRule="auto"/>
        <w:ind w:left="0"/>
        <w:jc w:val="left"/>
      </w:pPr>
      <w:r>
        <w:rPr>
          <w:rFonts w:eastAsia="等线" w:ascii="Arial" w:cs="Arial" w:hAnsi="Arial"/>
          <w:sz w:val="22"/>
        </w:rPr>
        <w:t>售后响应：全域24小时全天候售后技术响应，故障工单限时到场处置；</w:t>
      </w:r>
    </w:p>
    <w:p>
      <w:pPr>
        <w:numPr>
          <w:numId w:val="12"/>
        </w:numPr>
        <w:spacing w:before="120" w:after="120" w:line="288" w:lineRule="auto"/>
        <w:ind w:left="0"/>
        <w:jc w:val="left"/>
      </w:pPr>
      <w:r>
        <w:rPr>
          <w:rFonts w:eastAsia="等线" w:ascii="Arial" w:cs="Arial" w:hAnsi="Arial"/>
          <w:sz w:val="22"/>
        </w:rPr>
        <w:t>云端运维：免费提供24小时云端后台数据监测、能耗报表导出、运行异常预警服务；</w:t>
      </w:r>
    </w:p>
    <w:p>
      <w:pPr>
        <w:numPr>
          <w:numId w:val="13"/>
        </w:numPr>
        <w:spacing w:before="120" w:after="120" w:line="288" w:lineRule="auto"/>
        <w:ind w:left="0"/>
        <w:jc w:val="left"/>
      </w:pPr>
      <w:r>
        <w:rPr>
          <w:rFonts w:eastAsia="等线" w:ascii="Arial" w:cs="Arial" w:hAnsi="Arial"/>
          <w:sz w:val="22"/>
        </w:rPr>
        <w:t>设备寿命：本次AI能耗智控成套系统设计标准使用寿命≥10年；</w:t>
      </w:r>
    </w:p>
    <w:p>
      <w:pPr>
        <w:numPr>
          <w:numId w:val="14"/>
        </w:numPr>
        <w:spacing w:before="120" w:after="120" w:line="288" w:lineRule="auto"/>
        <w:ind w:left="0"/>
        <w:jc w:val="left"/>
      </w:pPr>
      <w:r>
        <w:rPr>
          <w:rFonts w:eastAsia="等线" w:ascii="Arial" w:cs="Arial" w:hAnsi="Arial"/>
          <w:sz w:val="22"/>
        </w:rPr>
        <w:t>专项对接：节能系统故障、运维咨询专属对接电话：15459988312。</w:t>
      </w:r>
    </w:p>
    <w:p>
      <w:pPr>
        <w:spacing w:before="120" w:after="120" w:line="288" w:lineRule="auto"/>
        <w:ind w:left="0"/>
        <w:jc w:val="right"/>
      </w:pPr>
      <w:r>
        <w:rPr>
          <w:rFonts w:eastAsia="等线" w:ascii="Arial" w:cs="Arial" w:hAnsi="Arial"/>
          <w:sz w:val="22"/>
        </w:rPr>
        <w:t>亿云（福建）能源科技有限公司</w:t>
      </w:r>
    </w:p>
    <w:p>
      <w:pPr>
        <w:spacing w:before="120" w:after="120" w:line="288" w:lineRule="auto"/>
        <w:ind w:left="0"/>
        <w:jc w:val="right"/>
      </w:pPr>
      <w:r>
        <w:rPr>
          <w:rFonts w:eastAsia="等线" w:ascii="Arial" w:cs="Arial" w:hAnsi="Arial"/>
          <w:sz w:val="22"/>
        </w:rPr>
        <w:t>经办人：林健</w:t>
      </w:r>
    </w:p>
    <w:p>
      <w:pPr>
        <w:spacing w:before="120" w:after="120" w:line="288" w:lineRule="auto"/>
        <w:ind w:left="0"/>
        <w:jc w:val="right"/>
      </w:pPr>
      <w:r>
        <w:rPr>
          <w:rFonts w:eastAsia="等线" w:ascii="Arial" w:cs="Arial" w:hAnsi="Arial"/>
          <w:sz w:val="22"/>
        </w:rPr>
        <w:t>2026年06月05日</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83502">
    <w:lvl>
      <w:start w:val="1"/>
      <w:numFmt w:val="decimal"/>
      <w:suff w:val="tab"/>
      <w:lvlText w:val="%1."/>
      <w:rPr>
        <w:color w:val="3370ff"/>
      </w:rPr>
    </w:lvl>
  </w:abstractNum>
  <w:abstractNum w:abstractNumId="583503">
    <w:lvl>
      <w:start w:val="2"/>
      <w:numFmt w:val="decimal"/>
      <w:suff w:val="tab"/>
      <w:lvlText w:val="%1."/>
      <w:rPr>
        <w:color w:val="3370ff"/>
      </w:rPr>
    </w:lvl>
  </w:abstractNum>
  <w:abstractNum w:abstractNumId="583504">
    <w:lvl>
      <w:start w:val="3"/>
      <w:numFmt w:val="decimal"/>
      <w:suff w:val="tab"/>
      <w:lvlText w:val="%1."/>
      <w:rPr>
        <w:color w:val="3370ff"/>
      </w:rPr>
    </w:lvl>
  </w:abstractNum>
  <w:abstractNum w:abstractNumId="583505">
    <w:lvl>
      <w:start w:val="4"/>
      <w:numFmt w:val="decimal"/>
      <w:suff w:val="tab"/>
      <w:lvlText w:val="%1."/>
      <w:rPr>
        <w:color w:val="3370ff"/>
      </w:rPr>
    </w:lvl>
  </w:abstractNum>
  <w:abstractNum w:abstractNumId="583506">
    <w:lvl>
      <w:start w:val="5"/>
      <w:numFmt w:val="decimal"/>
      <w:suff w:val="tab"/>
      <w:lvlText w:val="%1."/>
      <w:rPr>
        <w:color w:val="3370ff"/>
      </w:rPr>
    </w:lvl>
  </w:abstractNum>
  <w:abstractNum w:abstractNumId="583507">
    <w:lvl>
      <w:start w:val="6"/>
      <w:numFmt w:val="decimal"/>
      <w:suff w:val="tab"/>
      <w:lvlText w:val="%1."/>
      <w:rPr>
        <w:color w:val="3370ff"/>
      </w:rPr>
    </w:lvl>
  </w:abstractNum>
  <w:abstractNum w:abstractNumId="583508">
    <w:lvl>
      <w:start w:val="7"/>
      <w:numFmt w:val="decimal"/>
      <w:suff w:val="tab"/>
      <w:lvlText w:val="%1."/>
      <w:rPr>
        <w:color w:val="3370ff"/>
      </w:rPr>
    </w:lvl>
  </w:abstractNum>
  <w:abstractNum w:abstractNumId="583509">
    <w:lvl>
      <w:start w:val="8"/>
      <w:numFmt w:val="decimal"/>
      <w:suff w:val="tab"/>
      <w:lvlText w:val="%1."/>
      <w:rPr>
        <w:color w:val="3370ff"/>
      </w:rPr>
    </w:lvl>
  </w:abstractNum>
  <w:abstractNum w:abstractNumId="583510">
    <w:lvl>
      <w:start w:val="1"/>
      <w:numFmt w:val="decimal"/>
      <w:suff w:val="tab"/>
      <w:lvlText w:val="%1."/>
      <w:rPr>
        <w:color w:val="3370ff"/>
      </w:rPr>
    </w:lvl>
  </w:abstractNum>
  <w:abstractNum w:abstractNumId="583511">
    <w:lvl>
      <w:start w:val="2"/>
      <w:numFmt w:val="decimal"/>
      <w:suff w:val="tab"/>
      <w:lvlText w:val="%1."/>
      <w:rPr>
        <w:color w:val="3370ff"/>
      </w:rPr>
    </w:lvl>
  </w:abstractNum>
  <w:abstractNum w:abstractNumId="583512">
    <w:lvl>
      <w:start w:val="3"/>
      <w:numFmt w:val="decimal"/>
      <w:suff w:val="tab"/>
      <w:lvlText w:val="%1."/>
      <w:rPr>
        <w:color w:val="3370ff"/>
      </w:rPr>
    </w:lvl>
  </w:abstractNum>
  <w:abstractNum w:abstractNumId="583513">
    <w:lvl>
      <w:start w:val="4"/>
      <w:numFmt w:val="decimal"/>
      <w:suff w:val="tab"/>
      <w:lvlText w:val="%1."/>
      <w:rPr>
        <w:color w:val="3370ff"/>
      </w:rPr>
    </w:lvl>
  </w:abstractNum>
  <w:abstractNum w:abstractNumId="583514">
    <w:lvl>
      <w:start w:val="5"/>
      <w:numFmt w:val="decimal"/>
      <w:suff w:val="tab"/>
      <w:lvlText w:val="%1."/>
      <w:rPr>
        <w:color w:val="3370ff"/>
      </w:rPr>
    </w:lvl>
  </w:abstractNum>
  <w:abstractNum w:abstractNumId="583515">
    <w:lvl>
      <w:start w:val="6"/>
      <w:numFmt w:val="decimal"/>
      <w:suff w:val="tab"/>
      <w:lvlText w:val="%1."/>
      <w:rPr>
        <w:color w:val="3370ff"/>
      </w:rPr>
    </w:lvl>
  </w:abstractNum>
  <w:num w:numId="1">
    <w:abstractNumId w:val="583502"/>
  </w:num>
  <w:num w:numId="2">
    <w:abstractNumId w:val="583503"/>
  </w:num>
  <w:num w:numId="3">
    <w:abstractNumId w:val="583504"/>
  </w:num>
  <w:num w:numId="4">
    <w:abstractNumId w:val="583505"/>
  </w:num>
  <w:num w:numId="5">
    <w:abstractNumId w:val="583506"/>
  </w:num>
  <w:num w:numId="6">
    <w:abstractNumId w:val="583507"/>
  </w:num>
  <w:num w:numId="7">
    <w:abstractNumId w:val="583508"/>
  </w:num>
  <w:num w:numId="8">
    <w:abstractNumId w:val="583509"/>
  </w:num>
  <w:num w:numId="9">
    <w:abstractNumId w:val="583510"/>
  </w:num>
  <w:num w:numId="10">
    <w:abstractNumId w:val="583511"/>
  </w:num>
  <w:num w:numId="11">
    <w:abstractNumId w:val="583512"/>
  </w:num>
  <w:num w:numId="12">
    <w:abstractNumId w:val="583513"/>
  </w:num>
  <w:num w:numId="13">
    <w:abstractNumId w:val="583514"/>
  </w:num>
  <w:num w:numId="14">
    <w:abstractNumId w:val="5835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2026-06-10T06:33:06Z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{"Label":"1","ContentProducer":"001191110102MACQD9K64010000","ProduceID":"7649651075934587866","ReservedCode1":"","ContentPropagator":"","PropagateID":"","ReservedCode2":""}</vt:lpwstr>
  </property>
</Properties>
</file>