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综合能源服务销售入门到精通全套学习方案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适用人群</w:t>
      </w:r>
      <w:r>
        <w:rPr>
          <w:rFonts w:eastAsia="等线" w:ascii="Arial" w:cs="Arial" w:hAnsi="Arial"/>
          <w:sz w:val="22"/>
        </w:rPr>
        <w:t>：综合能源服务行业销售（主攻工商业工厂、产业园区、市政项目、数据中心、高耗能企业拓客、方案报价、项目落地）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文档核心内容</w:t>
      </w:r>
      <w:r>
        <w:rPr>
          <w:rFonts w:eastAsia="等线" w:ascii="Arial" w:cs="Arial" w:hAnsi="Arial"/>
          <w:sz w:val="22"/>
        </w:rPr>
        <w:t>：18个行业核心概念+完整逻辑关系+5阶段阶梯式学习路径+各阶段必备落地技能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文档特点</w:t>
      </w:r>
      <w:r>
        <w:rPr>
          <w:rFonts w:eastAsia="等线" w:ascii="Arial" w:cs="Arial" w:hAnsi="Arial"/>
          <w:sz w:val="22"/>
        </w:rPr>
        <w:t>：摒弃纯理工晦涩理论，全部贴合销售拓客、谈单、方案测算、项目操盘商务场景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一、综合能源服务18个核心概念（定义+场景+逻辑关系）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整体核心逻辑主线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行业全链路闭环：</w:t>
      </w:r>
      <w:r>
        <w:rPr>
          <w:rFonts w:eastAsia="等线" w:ascii="Arial" w:cs="Arial" w:hAnsi="Arial"/>
          <w:b w:val="true"/>
          <w:sz w:val="22"/>
        </w:rPr>
        <w:t>政策大环境→项目顶层设计→能源供给设备→物理组网架构→用户用能优化→商业化落地模式→增量收益赋能→客户核心决策动因</w:t>
      </w:r>
      <w:r>
        <w:rPr>
          <w:rFonts w:eastAsia="等线" w:ascii="Arial" w:cs="Arial" w:hAnsi="Arial"/>
          <w:sz w:val="22"/>
        </w:rPr>
        <w:t>，所有概念环环相扣，为销售谈单、做方案、算收益的底层核心。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（一）能源资源与供给侧（4个基础核心概念）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综合能源系统（IES）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：统筹冷、热、电、气、储能、光伏、风电等多品类能源，实现统一规划、集中生产、智能调度、一体化供应的新型能源系统，是行业顶层核心载体。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销售场景</w:t>
      </w:r>
      <w:r>
        <w:rPr>
          <w:rFonts w:eastAsia="等线" w:ascii="Arial" w:cs="Arial" w:hAnsi="Arial"/>
          <w:sz w:val="22"/>
        </w:rPr>
        <w:t>：所有园区、工厂整体能源改造、新建配套能源项目的统称。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逻辑关系</w:t>
      </w:r>
      <w:r>
        <w:rPr>
          <w:rFonts w:eastAsia="等线" w:ascii="Arial" w:cs="Arial" w:hAnsi="Arial"/>
          <w:sz w:val="22"/>
        </w:rPr>
        <w:t>：其余所有概念均围绕综合能源系统落地，是所有业务的核心载体。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分布式能源（DER）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：靠近用户侧就地建设、就地消纳的中小型能源发电/供能设备，包含分布式光伏、小型风电、天然气机组、生物质机组等。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销售场景</w:t>
      </w:r>
      <w:r>
        <w:rPr>
          <w:rFonts w:eastAsia="等线" w:ascii="Arial" w:cs="Arial" w:hAnsi="Arial"/>
          <w:sz w:val="22"/>
        </w:rPr>
        <w:t>：工厂屋顶光伏、园区自备发电项目。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逻辑关系</w:t>
      </w:r>
      <w:r>
        <w:rPr>
          <w:rFonts w:eastAsia="等线" w:ascii="Arial" w:cs="Arial" w:hAnsi="Arial"/>
          <w:sz w:val="22"/>
        </w:rPr>
        <w:t>：综合能源项目核心产能来源，是项目基础装机主体。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 冷热电三联供（CCHP）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：利用天然气内燃机/燃气轮机发电，回收发电产生的余热，同步实现供暖、供工业蒸汽、中央空调制冷，实现能源梯级高效利用。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销售场景</w:t>
      </w:r>
      <w:r>
        <w:rPr>
          <w:rFonts w:eastAsia="等线" w:ascii="Arial" w:cs="Arial" w:hAnsi="Arial"/>
          <w:sz w:val="22"/>
        </w:rPr>
        <w:t>：产业园、商业综合体、医院、数据中心等有稳定冷热电气需求的大型场景。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逻辑关系</w:t>
      </w:r>
      <w:r>
        <w:rPr>
          <w:rFonts w:eastAsia="等线" w:ascii="Arial" w:cs="Arial" w:hAnsi="Arial"/>
          <w:sz w:val="22"/>
        </w:rPr>
        <w:t>：大型综合能源项目核心主力设备，多能互补的核心落地形式。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 可再生能源消纳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：解决光伏、风电间歇性、波动性问题，实现新能源自发自用、余电上网，最大化利用绿色能源，满足政策消纳要求。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销售场景</w:t>
      </w:r>
      <w:r>
        <w:rPr>
          <w:rFonts w:eastAsia="等线" w:ascii="Arial" w:cs="Arial" w:hAnsi="Arial"/>
          <w:sz w:val="22"/>
        </w:rPr>
        <w:t>：所有光伏、储能配套改造项目的政策核心诉求。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逻辑关系</w:t>
      </w:r>
      <w:r>
        <w:rPr>
          <w:rFonts w:eastAsia="等线" w:ascii="Arial" w:cs="Arial" w:hAnsi="Arial"/>
          <w:sz w:val="22"/>
        </w:rPr>
        <w:t>：储能、微电网项目建设的核心目的之一，是企业合规经营的基础要求。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（二）储能、配网与调度侧（3个核心概念）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5. 电化学储能（ESS）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：以锂电池、铅炭电池等设备为核心，实现电能储存与释放，核心功能为峰谷电价套利、平抑新能源波动、应急备用电源、需量管理。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销售场景</w:t>
      </w:r>
      <w:r>
        <w:rPr>
          <w:rFonts w:eastAsia="等线" w:ascii="Arial" w:cs="Arial" w:hAnsi="Arial"/>
          <w:sz w:val="22"/>
        </w:rPr>
        <w:t>：高电价工厂、光伏配套、高峰限电企业、需量超标企业。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逻辑关系</w:t>
      </w:r>
      <w:r>
        <w:rPr>
          <w:rFonts w:eastAsia="等线" w:ascii="Arial" w:cs="Arial" w:hAnsi="Arial"/>
          <w:sz w:val="22"/>
        </w:rPr>
        <w:t>：弥补新能源发电与用户用电错配问题，大幅提升综合能源项目整体收益。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6. 微电网（MG）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：由分布式电源、储能设备、用户负荷、控制系统组成的小型独立电网，支持并网运行、孤岛独立运行两种模式。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销售场景</w:t>
      </w:r>
      <w:r>
        <w:rPr>
          <w:rFonts w:eastAsia="等线" w:ascii="Arial" w:cs="Arial" w:hAnsi="Arial"/>
          <w:sz w:val="22"/>
        </w:rPr>
        <w:t>：独立园区、偏远厂区、需保供的生产型企业。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逻辑关系</w:t>
      </w:r>
      <w:r>
        <w:rPr>
          <w:rFonts w:eastAsia="等线" w:ascii="Arial" w:cs="Arial" w:hAnsi="Arial"/>
          <w:sz w:val="22"/>
        </w:rPr>
        <w:t>：综合能源项目的最终物理组网形态，是多设备协同运行的基础。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7. 源网荷储一体化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：对电源、电网、用户负荷、储能设备进行统一规划、统一调度、协同运行的国家顶层能源政策导向。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销售场景</w:t>
      </w:r>
      <w:r>
        <w:rPr>
          <w:rFonts w:eastAsia="等线" w:ascii="Arial" w:cs="Arial" w:hAnsi="Arial"/>
          <w:sz w:val="22"/>
        </w:rPr>
        <w:t>：申报政府补贴、园区整体能源立项、大型总包项目包装。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逻辑关系</w:t>
      </w:r>
      <w:r>
        <w:rPr>
          <w:rFonts w:eastAsia="等线" w:ascii="Arial" w:cs="Arial" w:hAnsi="Arial"/>
          <w:sz w:val="22"/>
        </w:rPr>
        <w:t>：所有大型综合能源项目的设计准则、立项核心依据。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（三）用户用能与节能侧（4个核心概念）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8. 用户能效提升（节能改造）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：针对企业高耗能设备进行升级改造，包含电机变频、空压机改造、锅炉节能、中央空调优化、LED照明替换等，降低整体能耗。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销售场景</w:t>
      </w:r>
      <w:r>
        <w:rPr>
          <w:rFonts w:eastAsia="等线" w:ascii="Arial" w:cs="Arial" w:hAnsi="Arial"/>
          <w:sz w:val="22"/>
        </w:rPr>
        <w:t>：所有传统高耗能工厂，是入门最好落地的基础业务。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逻辑关系</w:t>
      </w:r>
      <w:r>
        <w:rPr>
          <w:rFonts w:eastAsia="等线" w:ascii="Arial" w:cs="Arial" w:hAnsi="Arial"/>
          <w:sz w:val="22"/>
        </w:rPr>
        <w:t>：综合能源最基础业务，是销售拓客、切入客户的核心突破口。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9. 需求侧响应（DR）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：用电高峰期，用户根据电网调度要求主动降低用电负荷，电网公司给予现金补贴，无需新增设备即可获利。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销售场景</w:t>
      </w:r>
      <w:r>
        <w:rPr>
          <w:rFonts w:eastAsia="等线" w:ascii="Arial" w:cs="Arial" w:hAnsi="Arial"/>
          <w:sz w:val="22"/>
        </w:rPr>
        <w:t>：大型生产工厂、可间断生产的制造业企业。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逻辑关系</w:t>
      </w:r>
      <w:r>
        <w:rPr>
          <w:rFonts w:eastAsia="等线" w:ascii="Arial" w:cs="Arial" w:hAnsi="Arial"/>
          <w:sz w:val="22"/>
        </w:rPr>
        <w:t>：存量客户增值收益渠道，丰富项目盈利模型，提升客户合作粘性。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10. 虚拟电厂（VPP）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：聚合区域内海量分布式光伏、储能、可调工业负荷，打包整合为一个虚拟整体，参与电网市场化调度和电力交易。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销售场景</w:t>
      </w:r>
      <w:r>
        <w:rPr>
          <w:rFonts w:eastAsia="等线" w:ascii="Arial" w:cs="Arial" w:hAnsi="Arial"/>
          <w:sz w:val="22"/>
        </w:rPr>
        <w:t>：产业园区集群、区域存量能源资产盘活。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逻辑关系</w:t>
      </w:r>
      <w:r>
        <w:rPr>
          <w:rFonts w:eastAsia="等线" w:ascii="Arial" w:cs="Arial" w:hAnsi="Arial"/>
          <w:sz w:val="22"/>
        </w:rPr>
        <w:t>：需求侧响应的规模化升级，是存量能源资产二次变现的核心模式。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11. 能耗双控/能耗指标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：国家对企业、区域实行能源消费总量、单位GDP能耗双重管控，高耗能企业能耗指标不足将面临限产、停产。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销售场景</w:t>
      </w:r>
      <w:r>
        <w:rPr>
          <w:rFonts w:eastAsia="等线" w:ascii="Arial" w:cs="Arial" w:hAnsi="Arial"/>
          <w:sz w:val="22"/>
        </w:rPr>
        <w:t>：化工、冶金、纺织等高耗能受限企业。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逻辑关系</w:t>
      </w:r>
      <w:r>
        <w:rPr>
          <w:rFonts w:eastAsia="等线" w:ascii="Arial" w:cs="Arial" w:hAnsi="Arial"/>
          <w:sz w:val="22"/>
        </w:rPr>
        <w:t>：客户主动改造综合能源项目的核心政策痛点与决策动因。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（四）商业模式与商务交易侧（4个销售核心概念）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12. 合同能源管理（EMC）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：行业主流合作模式，服务商全额投资设备改造，与客户按比例分享节能收益，分为节能效益分享型、节能量保证型、能源费用托管型三类。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销售场景</w:t>
      </w:r>
      <w:r>
        <w:rPr>
          <w:rFonts w:eastAsia="等线" w:ascii="Arial" w:cs="Arial" w:hAnsi="Arial"/>
          <w:sz w:val="22"/>
        </w:rPr>
        <w:t>：90%的中小工厂光伏、节能改造项目。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逻辑关系</w:t>
      </w:r>
      <w:r>
        <w:rPr>
          <w:rFonts w:eastAsia="等线" w:ascii="Arial" w:cs="Arial" w:hAnsi="Arial"/>
          <w:sz w:val="22"/>
        </w:rPr>
        <w:t>：销售核心签约模式，解决客户零投入、零风险的合作顾虑。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13. 能源费用托管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：服务商整体承包用户厂区所有冷、热、电、气能源供应与运维，客户按年度支付固定能源服务费，盈亏由服务商承担。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销售场景</w:t>
      </w:r>
      <w:r>
        <w:rPr>
          <w:rFonts w:eastAsia="等线" w:ascii="Arial" w:cs="Arial" w:hAnsi="Arial"/>
          <w:sz w:val="22"/>
        </w:rPr>
        <w:t>：大型产业园、高校、医院、商业综合体。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逻辑关系</w:t>
      </w:r>
      <w:r>
        <w:rPr>
          <w:rFonts w:eastAsia="等线" w:ascii="Arial" w:cs="Arial" w:hAnsi="Arial"/>
          <w:sz w:val="22"/>
        </w:rPr>
        <w:t>：高客单价、长期稳定收益的高端合作模式。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14. 购售电业务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：售电公司整合电力资源，为工商业用户代理集采电价，赚取价差，同时配套能源增值服务。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销售场景</w:t>
      </w:r>
      <w:r>
        <w:rPr>
          <w:rFonts w:eastAsia="等线" w:ascii="Arial" w:cs="Arial" w:hAnsi="Arial"/>
          <w:sz w:val="22"/>
        </w:rPr>
        <w:t>：所有工商业用电企业，是核心拓客敲门砖。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逻辑关系</w:t>
      </w:r>
      <w:r>
        <w:rPr>
          <w:rFonts w:eastAsia="等线" w:ascii="Arial" w:cs="Arial" w:hAnsi="Arial"/>
          <w:sz w:val="22"/>
        </w:rPr>
        <w:t>：低价电价切入客户，为后续光伏、储能、节能改造业务铺路。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15. 增量配网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：产业园区新建、自建独立配电网络，服务商获取特许经营权，自主完成配电、售电、运维全流程经营。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销售场景</w:t>
      </w:r>
      <w:r>
        <w:rPr>
          <w:rFonts w:eastAsia="等线" w:ascii="Arial" w:cs="Arial" w:hAnsi="Arial"/>
          <w:sz w:val="22"/>
        </w:rPr>
        <w:t>：新建经开区、化工园区、大型产业集聚区。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逻辑关系</w:t>
      </w:r>
      <w:r>
        <w:rPr>
          <w:rFonts w:eastAsia="等线" w:ascii="Arial" w:cs="Arial" w:hAnsi="Arial"/>
          <w:sz w:val="22"/>
        </w:rPr>
        <w:t>：行业重资产、高壁垒的顶级综合能源项目形态。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（五）政策与碳资产增值侧（3个进阶核心概念）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16. 绿电/绿证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：可再生能源发电对应的绿色溯源凭证，企业采购/自发绿电可完成碳中和指标、满足上市合规、外企供应链要求。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销售场景</w:t>
      </w:r>
      <w:r>
        <w:rPr>
          <w:rFonts w:eastAsia="等线" w:ascii="Arial" w:cs="Arial" w:hAnsi="Arial"/>
          <w:sz w:val="22"/>
        </w:rPr>
        <w:t>：上市公司、出口企业、头部品牌供应链工厂。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逻辑关系</w:t>
      </w:r>
      <w:r>
        <w:rPr>
          <w:rFonts w:eastAsia="等线" w:ascii="Arial" w:cs="Arial" w:hAnsi="Arial"/>
          <w:sz w:val="22"/>
        </w:rPr>
        <w:t>：光伏项目核心增量收益，是高端客户谈判核心加分项。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17. 碳核算+CCER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：对节能、新能源项目的碳减排量进行专业核算，生成CCER碳指标，可在市场挂牌交易变现。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销售场景</w:t>
      </w:r>
      <w:r>
        <w:rPr>
          <w:rFonts w:eastAsia="等线" w:ascii="Arial" w:cs="Arial" w:hAnsi="Arial"/>
          <w:sz w:val="22"/>
        </w:rPr>
        <w:t>：大型园区整体改造、规模化新能源项目。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逻辑关系</w:t>
      </w:r>
      <w:r>
        <w:rPr>
          <w:rFonts w:eastAsia="等线" w:ascii="Arial" w:cs="Arial" w:hAnsi="Arial"/>
          <w:sz w:val="22"/>
        </w:rPr>
        <w:t>：项目额外增值收益，提升项目整体投资回报率。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18. 新型电力系统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：国家以新能源为主体，构建安全、高效、低碳的新型电力体系，是未来能源行业改革与发展的顶层底座。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销售场景</w:t>
      </w:r>
      <w:r>
        <w:rPr>
          <w:rFonts w:eastAsia="等线" w:ascii="Arial" w:cs="Arial" w:hAnsi="Arial"/>
          <w:sz w:val="22"/>
        </w:rPr>
        <w:t>：所有行业项目政策解读、客户高端洽谈。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逻辑关系</w:t>
      </w:r>
      <w:r>
        <w:rPr>
          <w:rFonts w:eastAsia="等线" w:ascii="Arial" w:cs="Arial" w:hAnsi="Arial"/>
          <w:sz w:val="22"/>
        </w:rPr>
        <w:t>：行业长期发展底层逻辑，决定行业政策红利与市场走向。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（六）18个概念完整串联逻辑链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型电力系统（行业大背景）→源网荷储一体化（项目设计准则）→综合能源系统（项目整体载体）→分布式能源+CCHP+储能（核心设备供给）→微电网（物理组网形式）→用户节能改造+需求侧响应（负荷优化）→EMC/能源托管/购售电（商业化落地）→绿电绿证+CCER（项目增量收益）→虚拟电厂（存量资产变现）→能耗双控（客户核心决策痛点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二、综合能源销售5阶段进阶学习路径+必备技能（从入门到精通）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整体周期规划</w:t>
      </w:r>
      <w:r>
        <w:rPr>
          <w:rFonts w:eastAsia="等线" w:ascii="Arial" w:cs="Arial" w:hAnsi="Arial"/>
          <w:sz w:val="22"/>
        </w:rPr>
        <w:t>：小白入门开单→独立签单→项目操盘→行业专家→顶层操盘，全阶段贴合销售落地场景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第一阶段：入门破冰期（1-2个月 | 行业小白）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阶段目标</w:t>
      </w:r>
      <w:r>
        <w:rPr>
          <w:rFonts w:eastAsia="等线" w:ascii="Arial" w:cs="Arial" w:hAnsi="Arial"/>
          <w:sz w:val="22"/>
        </w:rPr>
        <w:t>：听懂行业术语、看懂电费单、独立上门拜访、落地小型节能订单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核心学习重点</w:t>
      </w:r>
      <w:r>
        <w:rPr>
          <w:rFonts w:eastAsia="等线" w:ascii="Arial" w:cs="Arial" w:hAnsi="Arial"/>
          <w:sz w:val="22"/>
        </w:rPr>
        <w:t>：行业常识、基础政策、入门产品、简单商务测算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本阶段必备技能</w:t>
      </w:r>
      <w:bookmarkEnd w:id="28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政策技能</w:t>
      </w:r>
      <w:r>
        <w:rPr>
          <w:rFonts w:eastAsia="等线" w:ascii="Arial" w:cs="Arial" w:hAnsi="Arial"/>
          <w:sz w:val="22"/>
        </w:rPr>
        <w:t>：熟练掌握本地工商业峰谷电价、基本电费、力率电费规则，精通光伏并网、地方节能补贴、需求侧响应基础政策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产品认知</w:t>
      </w:r>
      <w:r>
        <w:rPr>
          <w:rFonts w:eastAsia="等线" w:ascii="Arial" w:cs="Arial" w:hAnsi="Arial"/>
          <w:sz w:val="22"/>
        </w:rPr>
        <w:t>：掌握分布式光伏、设备节能改造、照明改造三大入门产品的适配场景、优势、适用客户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核心工具技能</w:t>
      </w:r>
      <w:r>
        <w:rPr>
          <w:rFonts w:eastAsia="等线" w:ascii="Arial" w:cs="Arial" w:hAnsi="Arial"/>
          <w:sz w:val="22"/>
        </w:rPr>
        <w:t>：完整拆解企业电费账单，精准找出客户电费浪费、能耗超标痛点（销售核心基本功）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基础测算技能</w:t>
      </w:r>
      <w:r>
        <w:rPr>
          <w:rFonts w:eastAsia="等线" w:ascii="Arial" w:cs="Arial" w:hAnsi="Arial"/>
          <w:sz w:val="22"/>
        </w:rPr>
        <w:t>：熟练使用简易测算表，完成光伏自发自用收益、节能改造回本年限基础计算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拓客技能</w:t>
      </w:r>
      <w:r>
        <w:rPr>
          <w:rFonts w:eastAsia="等线" w:ascii="Arial" w:cs="Arial" w:hAnsi="Arial"/>
          <w:sz w:val="22"/>
        </w:rPr>
        <w:t>：精准筛选高耗能、高电价目标客户，掌握陌拜、电话拓客标准话术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阶段输出成果</w:t>
      </w:r>
      <w:r>
        <w:rPr>
          <w:rFonts w:eastAsia="等线" w:ascii="Arial" w:cs="Arial" w:hAnsi="Arial"/>
          <w:sz w:val="22"/>
        </w:rPr>
        <w:t>：独立上门拜访客户，完成能耗痛点诊断，落地10万以内小型节能改造订单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第二阶段：独立成单期（3-6个月 | 行业熟手）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阶段目标</w:t>
      </w:r>
      <w:r>
        <w:rPr>
          <w:rFonts w:eastAsia="等线" w:ascii="Arial" w:cs="Arial" w:hAnsi="Arial"/>
          <w:sz w:val="22"/>
        </w:rPr>
        <w:t>：独立制作方案、测算收益、签订50-500万EMC光伏/节能项目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核心学习重点</w:t>
      </w:r>
      <w:r>
        <w:rPr>
          <w:rFonts w:eastAsia="等线" w:ascii="Arial" w:cs="Arial" w:hAnsi="Arial"/>
          <w:sz w:val="22"/>
        </w:rPr>
        <w:t>：EMC核心商业模式、负荷分析、储能基础、方案编制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本阶段必备技能</w:t>
      </w:r>
      <w:bookmarkEnd w:id="30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负荷分析技能</w:t>
      </w:r>
      <w:r>
        <w:rPr>
          <w:rFonts w:eastAsia="等线" w:ascii="Arial" w:cs="Arial" w:hAnsi="Arial"/>
          <w:sz w:val="22"/>
        </w:rPr>
        <w:t>：看懂企业用电负荷曲线，区分尖峰平谷负荷，精准判断光伏、储能、三联供适配性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方案编制技能</w:t>
      </w:r>
      <w:r>
        <w:rPr>
          <w:rFonts w:eastAsia="等线" w:ascii="Arial" w:cs="Arial" w:hAnsi="Arial"/>
          <w:sz w:val="22"/>
        </w:rPr>
        <w:t>：独立编写EMC节能效益分享方案、投资测算表，明确投资额、年收益、回本周期、合作分成模式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商务法务技能</w:t>
      </w:r>
      <w:r>
        <w:rPr>
          <w:rFonts w:eastAsia="等线" w:ascii="Arial" w:cs="Arial" w:hAnsi="Arial"/>
          <w:sz w:val="22"/>
        </w:rPr>
        <w:t>：精通EMC标准合同、并网协议、购售电代理协议，规避回款、合作风险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资源对接技能</w:t>
      </w:r>
      <w:r>
        <w:rPr>
          <w:rFonts w:eastAsia="等线" w:ascii="Arial" w:cs="Arial" w:hAnsi="Arial"/>
          <w:sz w:val="22"/>
        </w:rPr>
        <w:t>：熟悉设计院、施工方、供电局并网全流程，掌握各环节对接人及流程节点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增值收益测算</w:t>
      </w:r>
      <w:r>
        <w:rPr>
          <w:rFonts w:eastAsia="等线" w:ascii="Arial" w:cs="Arial" w:hAnsi="Arial"/>
          <w:sz w:val="22"/>
        </w:rPr>
        <w:t>：熟练核算绿证、基础节能补贴增量收益，优化项目合作方案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阶段输出成果</w:t>
      </w:r>
      <w:r>
        <w:rPr>
          <w:rFonts w:eastAsia="等线" w:ascii="Arial" w:cs="Arial" w:hAnsi="Arial"/>
          <w:sz w:val="22"/>
        </w:rPr>
        <w:t>：独立对接工厂客户，自主完成可研简版方案、报价、谈判，落地百万级EMC项目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第三阶段：项目操盘期（6-12个月 | 资深销售）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阶段目标</w:t>
      </w:r>
      <w:r>
        <w:rPr>
          <w:rFonts w:eastAsia="等线" w:ascii="Arial" w:cs="Arial" w:hAnsi="Arial"/>
          <w:sz w:val="22"/>
        </w:rPr>
        <w:t>：跟进、操盘千万级园区综合能源总包项目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核心学习重点</w:t>
      </w:r>
      <w:r>
        <w:rPr>
          <w:rFonts w:eastAsia="等线" w:ascii="Arial" w:cs="Arial" w:hAnsi="Arial"/>
          <w:sz w:val="22"/>
        </w:rPr>
        <w:t>：冷热电三联供、源网荷储、微网、能源托管模式、招投标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本阶段必备技能</w:t>
      </w:r>
      <w:bookmarkEnd w:id="32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多能耦合测算</w:t>
      </w:r>
      <w:r>
        <w:rPr>
          <w:rFonts w:eastAsia="等线" w:ascii="Arial" w:cs="Arial" w:hAnsi="Arial"/>
          <w:sz w:val="22"/>
        </w:rPr>
        <w:t>：精通光伏+储能+三联供+节能改造多业态组合收益测算，完成整体打包报价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托管报价技能</w:t>
      </w:r>
      <w:r>
        <w:rPr>
          <w:rFonts w:eastAsia="等线" w:ascii="Arial" w:cs="Arial" w:hAnsi="Arial"/>
          <w:sz w:val="22"/>
        </w:rPr>
        <w:t>：根据园区全年冷热电气能耗数据，核算能源托管打包单价，锁定企业利润空间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项目立项能力</w:t>
      </w:r>
      <w:r>
        <w:rPr>
          <w:rFonts w:eastAsia="等线" w:ascii="Arial" w:cs="Arial" w:hAnsi="Arial"/>
          <w:sz w:val="22"/>
        </w:rPr>
        <w:t>：协助甲方梳理项目立项资料、可研报告核心要点，配合政府、园区评审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招投标技能</w:t>
      </w:r>
      <w:r>
        <w:rPr>
          <w:rFonts w:eastAsia="等线" w:ascii="Arial" w:cs="Arial" w:hAnsi="Arial"/>
          <w:sz w:val="22"/>
        </w:rPr>
        <w:t>：读懂综合能源项目招标文件，独立编写投标商务标、响应文件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基础融资能力</w:t>
      </w:r>
      <w:r>
        <w:rPr>
          <w:rFonts w:eastAsia="等线" w:ascii="Arial" w:cs="Arial" w:hAnsi="Arial"/>
          <w:sz w:val="22"/>
        </w:rPr>
        <w:t>：熟悉项目贷、融资租赁等EMC项目主流融资方式，为客户提供投融资解决方案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阶段输出成果</w:t>
      </w:r>
      <w:r>
        <w:rPr>
          <w:rFonts w:eastAsia="等线" w:ascii="Arial" w:cs="Arial" w:hAnsi="Arial"/>
          <w:sz w:val="22"/>
        </w:rPr>
        <w:t>：独立跟进产业园、商业综合体千万级综合能源总包项目，全程操盘招投标与商务谈判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第四阶段：行业专家期（1-3年 | 销售管理层）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阶段目标</w:t>
      </w:r>
      <w:r>
        <w:rPr>
          <w:rFonts w:eastAsia="等线" w:ascii="Arial" w:cs="Arial" w:hAnsi="Arial"/>
          <w:sz w:val="22"/>
        </w:rPr>
        <w:t>：落地亿级重资产项目，操盘增量配网、源网荷储标杆项目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核心学习重点</w:t>
      </w:r>
      <w:r>
        <w:rPr>
          <w:rFonts w:eastAsia="等线" w:ascii="Arial" w:cs="Arial" w:hAnsi="Arial"/>
          <w:sz w:val="22"/>
        </w:rPr>
        <w:t>：电力市场化交易、碳资产、虚拟电厂、政企资源整合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本阶段必备技能</w:t>
      </w:r>
      <w:bookmarkEnd w:id="34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市场化交易能力</w:t>
      </w:r>
      <w:r>
        <w:rPr>
          <w:rFonts w:eastAsia="等线" w:ascii="Arial" w:cs="Arial" w:hAnsi="Arial"/>
          <w:sz w:val="22"/>
        </w:rPr>
        <w:t>：精通省内电力现货交易、需求侧响应市场化规则、虚拟电厂聚合收益核算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碳资产实操能力</w:t>
      </w:r>
      <w:r>
        <w:rPr>
          <w:rFonts w:eastAsia="等线" w:ascii="Arial" w:cs="Arial" w:hAnsi="Arial"/>
          <w:sz w:val="22"/>
        </w:rPr>
        <w:t>：掌握项目碳减排核算、绿证交易、CCER项目开发与收益变现全流程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资源整合能力</w:t>
      </w:r>
      <w:r>
        <w:rPr>
          <w:rFonts w:eastAsia="等线" w:ascii="Arial" w:cs="Arial" w:hAnsi="Arial"/>
          <w:sz w:val="22"/>
        </w:rPr>
        <w:t>：整合气源、设备厂家、城投、电网资源，组建联合体参与大型项目投标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投资研判能力</w:t>
      </w:r>
      <w:r>
        <w:rPr>
          <w:rFonts w:eastAsia="等线" w:ascii="Arial" w:cs="Arial" w:hAnsi="Arial"/>
          <w:sz w:val="22"/>
        </w:rPr>
        <w:t>：精准测算增量配网、大型源网荷储项目ROI，判断项目投资可行性与风险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政企公关能力</w:t>
      </w:r>
      <w:r>
        <w:rPr>
          <w:rFonts w:eastAsia="等线" w:ascii="Arial" w:cs="Arial" w:hAnsi="Arial"/>
          <w:sz w:val="22"/>
        </w:rPr>
        <w:t>：对接发改委、能源局、园区管委会，获取园区能源特许经营权、政策补贴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阶段输出成果</w:t>
      </w:r>
      <w:r>
        <w:rPr>
          <w:rFonts w:eastAsia="等线" w:ascii="Arial" w:cs="Arial" w:hAnsi="Arial"/>
          <w:sz w:val="22"/>
        </w:rPr>
        <w:t>：落地千万至亿级区域源网荷储一体化、增量配网标杆项目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第五阶段：顶层操盘期（3年+ | 行业顾问/负责人）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阶段目标</w:t>
      </w:r>
      <w:r>
        <w:rPr>
          <w:rFonts w:eastAsia="等线" w:ascii="Arial" w:cs="Arial" w:hAnsi="Arial"/>
          <w:sz w:val="22"/>
        </w:rPr>
        <w:t>：统筹区域能源布局，掌控全产业链资源与项目资本运作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核心学习重点</w:t>
      </w:r>
      <w:r>
        <w:rPr>
          <w:rFonts w:eastAsia="等线" w:ascii="Arial" w:cs="Arial" w:hAnsi="Arial"/>
          <w:sz w:val="22"/>
        </w:rPr>
        <w:t>：顶层能源规划、资本运作、行业政策预判、全周期风控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本阶段必备技能</w:t>
      </w:r>
      <w:bookmarkEnd w:id="36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区域规划能力</w:t>
      </w:r>
      <w:r>
        <w:rPr>
          <w:rFonts w:eastAsia="等线" w:ascii="Arial" w:cs="Arial" w:hAnsi="Arial"/>
          <w:sz w:val="22"/>
        </w:rPr>
        <w:t>：可主导县域、经开区综合能源专项规划编制，完成项目顶层方案设计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资本运作能力</w:t>
      </w:r>
      <w:r>
        <w:rPr>
          <w:rFonts w:eastAsia="等线" w:ascii="Arial" w:cs="Arial" w:hAnsi="Arial"/>
          <w:sz w:val="22"/>
        </w:rPr>
        <w:t>：熟练运用产业基金、PPP模式落地大型项目，完成存量资产并购、盘活、增值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政策研判能力</w:t>
      </w:r>
      <w:r>
        <w:rPr>
          <w:rFonts w:eastAsia="等线" w:ascii="Arial" w:cs="Arial" w:hAnsi="Arial"/>
          <w:sz w:val="22"/>
        </w:rPr>
        <w:t>：精准预判电价改革、双碳、新能源行业政策变化，调整企业业务布局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全周期风控能力</w:t>
      </w:r>
      <w:r>
        <w:rPr>
          <w:rFonts w:eastAsia="等线" w:ascii="Arial" w:cs="Arial" w:hAnsi="Arial"/>
          <w:sz w:val="22"/>
        </w:rPr>
        <w:t>：全面把控电价波动、客户违约、设备运维、政策变动等各类项目风险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阶段输出成果</w:t>
      </w:r>
      <w:r>
        <w:rPr>
          <w:rFonts w:eastAsia="等线" w:ascii="Arial" w:cs="Arial" w:hAnsi="Arial"/>
          <w:sz w:val="22"/>
        </w:rPr>
        <w:t>：主导区域综合能源产业布局，统筹多项目集群投资、建设、运营全流程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三、销售专属自学资料清单（无晦涩理论、全部落地实用）</w:t>
      </w:r>
      <w:bookmarkEnd w:id="37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政策渠道</w:t>
      </w:r>
      <w:r>
        <w:rPr>
          <w:rFonts w:eastAsia="等线" w:ascii="Arial" w:cs="Arial" w:hAnsi="Arial"/>
          <w:sz w:val="22"/>
        </w:rPr>
        <w:t>：国家能源局官网、各省市发改委/能源局官网（光伏、储能、节能、需求侧响应官方文件）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实操书籍</w:t>
      </w:r>
      <w:r>
        <w:rPr>
          <w:rFonts w:eastAsia="等线" w:ascii="Arial" w:cs="Arial" w:hAnsi="Arial"/>
          <w:sz w:val="22"/>
        </w:rPr>
        <w:t>：《合同能源管理实务》《分布式光伏项目开发与测算》《综合能源服务商业模式与落地案例》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行业资讯渠道</w:t>
      </w:r>
      <w:r>
        <w:rPr>
          <w:rFonts w:eastAsia="等线" w:ascii="Arial" w:cs="Arial" w:hAnsi="Arial"/>
          <w:sz w:val="22"/>
        </w:rPr>
        <w:t>：省级电力交易中心平台、行业垂直公众号、综合能源产业峰会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落地素材</w:t>
      </w:r>
      <w:r>
        <w:rPr>
          <w:rFonts w:eastAsia="等线" w:ascii="Arial" w:cs="Arial" w:hAnsi="Arial"/>
          <w:sz w:val="22"/>
        </w:rPr>
        <w:t>：行业标准EMC合同范本、项目简易可研模板、投资测算excel模板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03660">
    <w:lvl>
      <w:numFmt w:val="bullet"/>
      <w:suff w:val="tab"/>
      <w:lvlText w:val="•"/>
      <w:rPr>
        <w:color w:val="3370ff"/>
      </w:rPr>
    </w:lvl>
  </w:abstractNum>
  <w:abstractNum w:abstractNumId="603661">
    <w:lvl>
      <w:numFmt w:val="bullet"/>
      <w:suff w:val="tab"/>
      <w:lvlText w:val="•"/>
      <w:rPr>
        <w:color w:val="3370ff"/>
      </w:rPr>
    </w:lvl>
  </w:abstractNum>
  <w:abstractNum w:abstractNumId="603662">
    <w:lvl>
      <w:numFmt w:val="bullet"/>
      <w:suff w:val="tab"/>
      <w:lvlText w:val="•"/>
      <w:rPr>
        <w:color w:val="3370ff"/>
      </w:rPr>
    </w:lvl>
  </w:abstractNum>
  <w:abstractNum w:abstractNumId="603663">
    <w:lvl>
      <w:numFmt w:val="bullet"/>
      <w:suff w:val="tab"/>
      <w:lvlText w:val="•"/>
      <w:rPr>
        <w:color w:val="3370ff"/>
      </w:rPr>
    </w:lvl>
  </w:abstractNum>
  <w:abstractNum w:abstractNumId="603664">
    <w:lvl>
      <w:numFmt w:val="bullet"/>
      <w:suff w:val="tab"/>
      <w:lvlText w:val="•"/>
      <w:rPr>
        <w:color w:val="3370ff"/>
      </w:rPr>
    </w:lvl>
  </w:abstractNum>
  <w:abstractNum w:abstractNumId="603665">
    <w:lvl>
      <w:numFmt w:val="bullet"/>
      <w:suff w:val="tab"/>
      <w:lvlText w:val="•"/>
      <w:rPr>
        <w:color w:val="3370ff"/>
      </w:rPr>
    </w:lvl>
  </w:abstractNum>
  <w:abstractNum w:abstractNumId="603666">
    <w:lvl>
      <w:numFmt w:val="bullet"/>
      <w:suff w:val="tab"/>
      <w:lvlText w:val="•"/>
      <w:rPr>
        <w:color w:val="3370ff"/>
      </w:rPr>
    </w:lvl>
  </w:abstractNum>
  <w:abstractNum w:abstractNumId="603667">
    <w:lvl>
      <w:numFmt w:val="bullet"/>
      <w:suff w:val="tab"/>
      <w:lvlText w:val="•"/>
      <w:rPr>
        <w:color w:val="3370ff"/>
      </w:rPr>
    </w:lvl>
  </w:abstractNum>
  <w:abstractNum w:abstractNumId="603668">
    <w:lvl>
      <w:numFmt w:val="bullet"/>
      <w:suff w:val="tab"/>
      <w:lvlText w:val="•"/>
      <w:rPr>
        <w:color w:val="3370ff"/>
      </w:rPr>
    </w:lvl>
  </w:abstractNum>
  <w:abstractNum w:abstractNumId="603669">
    <w:lvl>
      <w:numFmt w:val="bullet"/>
      <w:suff w:val="tab"/>
      <w:lvlText w:val="•"/>
      <w:rPr>
        <w:color w:val="3370ff"/>
      </w:rPr>
    </w:lvl>
  </w:abstractNum>
  <w:abstractNum w:abstractNumId="603670">
    <w:lvl>
      <w:numFmt w:val="bullet"/>
      <w:suff w:val="tab"/>
      <w:lvlText w:val="•"/>
      <w:rPr>
        <w:color w:val="3370ff"/>
      </w:rPr>
    </w:lvl>
  </w:abstractNum>
  <w:abstractNum w:abstractNumId="603671">
    <w:lvl>
      <w:numFmt w:val="bullet"/>
      <w:suff w:val="tab"/>
      <w:lvlText w:val="•"/>
      <w:rPr>
        <w:color w:val="3370ff"/>
      </w:rPr>
    </w:lvl>
  </w:abstractNum>
  <w:abstractNum w:abstractNumId="603672">
    <w:lvl>
      <w:numFmt w:val="bullet"/>
      <w:suff w:val="tab"/>
      <w:lvlText w:val="•"/>
      <w:rPr>
        <w:color w:val="3370ff"/>
      </w:rPr>
    </w:lvl>
  </w:abstractNum>
  <w:abstractNum w:abstractNumId="603673">
    <w:lvl>
      <w:numFmt w:val="bullet"/>
      <w:suff w:val="tab"/>
      <w:lvlText w:val="•"/>
      <w:rPr>
        <w:color w:val="3370ff"/>
      </w:rPr>
    </w:lvl>
  </w:abstractNum>
  <w:abstractNum w:abstractNumId="603674">
    <w:lvl>
      <w:numFmt w:val="bullet"/>
      <w:suff w:val="tab"/>
      <w:lvlText w:val="•"/>
      <w:rPr>
        <w:color w:val="3370ff"/>
      </w:rPr>
    </w:lvl>
  </w:abstractNum>
  <w:abstractNum w:abstractNumId="603675">
    <w:lvl>
      <w:numFmt w:val="bullet"/>
      <w:suff w:val="tab"/>
      <w:lvlText w:val="•"/>
      <w:rPr>
        <w:color w:val="3370ff"/>
      </w:rPr>
    </w:lvl>
  </w:abstractNum>
  <w:abstractNum w:abstractNumId="603676">
    <w:lvl>
      <w:numFmt w:val="bullet"/>
      <w:suff w:val="tab"/>
      <w:lvlText w:val="•"/>
      <w:rPr>
        <w:color w:val="3370ff"/>
      </w:rPr>
    </w:lvl>
  </w:abstractNum>
  <w:abstractNum w:abstractNumId="603677">
    <w:lvl>
      <w:numFmt w:val="bullet"/>
      <w:suff w:val="tab"/>
      <w:lvlText w:val="•"/>
      <w:rPr>
        <w:color w:val="3370ff"/>
      </w:rPr>
    </w:lvl>
  </w:abstractNum>
  <w:abstractNum w:abstractNumId="603678">
    <w:lvl>
      <w:numFmt w:val="bullet"/>
      <w:suff w:val="tab"/>
      <w:lvlText w:val="•"/>
      <w:rPr>
        <w:color w:val="3370ff"/>
      </w:rPr>
    </w:lvl>
  </w:abstractNum>
  <w:abstractNum w:abstractNumId="603679">
    <w:lvl>
      <w:numFmt w:val="bullet"/>
      <w:suff w:val="tab"/>
      <w:lvlText w:val="•"/>
      <w:rPr>
        <w:color w:val="3370ff"/>
      </w:rPr>
    </w:lvl>
  </w:abstractNum>
  <w:abstractNum w:abstractNumId="603680">
    <w:lvl>
      <w:numFmt w:val="bullet"/>
      <w:suff w:val="tab"/>
      <w:lvlText w:val="•"/>
      <w:rPr>
        <w:color w:val="3370ff"/>
      </w:rPr>
    </w:lvl>
  </w:abstractNum>
  <w:abstractNum w:abstractNumId="603681">
    <w:lvl>
      <w:numFmt w:val="bullet"/>
      <w:suff w:val="tab"/>
      <w:lvlText w:val="•"/>
      <w:rPr>
        <w:color w:val="3370ff"/>
      </w:rPr>
    </w:lvl>
  </w:abstractNum>
  <w:abstractNum w:abstractNumId="603682">
    <w:lvl>
      <w:numFmt w:val="bullet"/>
      <w:suff w:val="tab"/>
      <w:lvlText w:val="•"/>
      <w:rPr>
        <w:color w:val="3370ff"/>
      </w:rPr>
    </w:lvl>
  </w:abstractNum>
  <w:abstractNum w:abstractNumId="603683">
    <w:lvl>
      <w:numFmt w:val="bullet"/>
      <w:suff w:val="tab"/>
      <w:lvlText w:val="•"/>
      <w:rPr>
        <w:color w:val="3370ff"/>
      </w:rPr>
    </w:lvl>
  </w:abstractNum>
  <w:abstractNum w:abstractNumId="603684">
    <w:lvl>
      <w:start w:val="1"/>
      <w:numFmt w:val="decimal"/>
      <w:suff w:val="tab"/>
      <w:lvlText w:val="%1."/>
      <w:rPr>
        <w:color w:val="3370ff"/>
      </w:rPr>
    </w:lvl>
  </w:abstractNum>
  <w:abstractNum w:abstractNumId="603685">
    <w:lvl>
      <w:start w:val="2"/>
      <w:numFmt w:val="decimal"/>
      <w:suff w:val="tab"/>
      <w:lvlText w:val="%1."/>
      <w:rPr>
        <w:color w:val="3370ff"/>
      </w:rPr>
    </w:lvl>
  </w:abstractNum>
  <w:abstractNum w:abstractNumId="603686">
    <w:lvl>
      <w:start w:val="3"/>
      <w:numFmt w:val="decimal"/>
      <w:suff w:val="tab"/>
      <w:lvlText w:val="%1."/>
      <w:rPr>
        <w:color w:val="3370ff"/>
      </w:rPr>
    </w:lvl>
  </w:abstractNum>
  <w:abstractNum w:abstractNumId="603687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603660"/>
  </w:num>
  <w:num w:numId="2">
    <w:abstractNumId w:val="603661"/>
  </w:num>
  <w:num w:numId="3">
    <w:abstractNumId w:val="603662"/>
  </w:num>
  <w:num w:numId="4">
    <w:abstractNumId w:val="603663"/>
  </w:num>
  <w:num w:numId="5">
    <w:abstractNumId w:val="603664"/>
  </w:num>
  <w:num w:numId="6">
    <w:abstractNumId w:val="603665"/>
  </w:num>
  <w:num w:numId="7">
    <w:abstractNumId w:val="603666"/>
  </w:num>
  <w:num w:numId="8">
    <w:abstractNumId w:val="603667"/>
  </w:num>
  <w:num w:numId="9">
    <w:abstractNumId w:val="603668"/>
  </w:num>
  <w:num w:numId="10">
    <w:abstractNumId w:val="603669"/>
  </w:num>
  <w:num w:numId="11">
    <w:abstractNumId w:val="603670"/>
  </w:num>
  <w:num w:numId="12">
    <w:abstractNumId w:val="603671"/>
  </w:num>
  <w:num w:numId="13">
    <w:abstractNumId w:val="603672"/>
  </w:num>
  <w:num w:numId="14">
    <w:abstractNumId w:val="603673"/>
  </w:num>
  <w:num w:numId="15">
    <w:abstractNumId w:val="603674"/>
  </w:num>
  <w:num w:numId="16">
    <w:abstractNumId w:val="603675"/>
  </w:num>
  <w:num w:numId="17">
    <w:abstractNumId w:val="603676"/>
  </w:num>
  <w:num w:numId="18">
    <w:abstractNumId w:val="603677"/>
  </w:num>
  <w:num w:numId="19">
    <w:abstractNumId w:val="603678"/>
  </w:num>
  <w:num w:numId="20">
    <w:abstractNumId w:val="603679"/>
  </w:num>
  <w:num w:numId="21">
    <w:abstractNumId w:val="603680"/>
  </w:num>
  <w:num w:numId="22">
    <w:abstractNumId w:val="603681"/>
  </w:num>
  <w:num w:numId="23">
    <w:abstractNumId w:val="603682"/>
  </w:num>
  <w:num w:numId="24">
    <w:abstractNumId w:val="603683"/>
  </w:num>
  <w:num w:numId="25">
    <w:abstractNumId w:val="603684"/>
  </w:num>
  <w:num w:numId="26">
    <w:abstractNumId w:val="603685"/>
  </w:num>
  <w:num w:numId="27">
    <w:abstractNumId w:val="603686"/>
  </w:num>
  <w:num w:numId="28">
    <w:abstractNumId w:val="6036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2026-06-05T14:58:40Z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{"Label":"1","ContentProducer":"001191110102MACQD9K64010000","ProduceID":"7647925864190249916","ReservedCode1":"","ContentPropagator":"","PropagateID":"","ReservedCode2":""}</vt:lpwstr>
  </property>
</Properties>
</file>