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LightGBM 负荷预测模型解析——底层逻辑与误差优化实战指南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本文档由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飞书 aily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创建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一句话定义</w:t>
            </w:r>
            <w:r>
              <w:rPr>
                <w:rFonts w:eastAsia="等线" w:ascii="Arial" w:cs="Arial" w:hAnsi="Arial"/>
                <w:sz w:val="22"/>
              </w:rPr>
              <w:t>：LightGBM 是一款专为大规模数据场景设计的高性能梯度提升算法，通过</w:t>
            </w:r>
            <w:r>
              <w:rPr>
                <w:rFonts w:eastAsia="等线" w:ascii="Arial" w:cs="Arial" w:hAnsi="Arial"/>
                <w:b w:val="true"/>
                <w:sz w:val="22"/>
              </w:rPr>
              <w:t>直方图算法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sz w:val="22"/>
              </w:rPr>
              <w:t>叶子优先生长</w:t>
            </w:r>
            <w:r>
              <w:rPr>
                <w:rFonts w:eastAsia="等线" w:ascii="Arial" w:cs="Arial" w:hAnsi="Arial"/>
                <w:sz w:val="22"/>
              </w:rPr>
              <w:t>两大核心技术创新，实现了"快且准"的负荷预测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[1]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为什么重要</w:t>
            </w:r>
            <w:r>
              <w:rPr>
                <w:rFonts w:eastAsia="等线" w:ascii="Arial" w:cs="Arial" w:hAnsi="Arial"/>
                <w:sz w:val="22"/>
              </w:rPr>
              <w:t>：售电公司面临海量用户、多变天气的复杂预测场景，传统算法要么"准但慢"（无法实时响应），要么"快但飘"（预测偏差大导致考核损失）。LightGBM 解决了这个矛盾，让普通电脑也能分钟级跑出精准预测。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一、概念定位与关系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LightGBM</w:t>
      </w:r>
      <w:r>
        <w:rPr>
          <w:rFonts w:eastAsia="等线" w:ascii="Arial" w:cs="Arial" w:hAnsi="Arial"/>
          <w:sz w:val="22"/>
        </w:rPr>
        <w:t>（Light Gradient Boosting Machine）是微软亚洲研究院于2017年开源的梯度提升决策树算法，其核心价值在于通过算法创新，</w:t>
      </w:r>
      <w:r>
        <w:rPr>
          <w:rFonts w:eastAsia="等线" w:ascii="Arial" w:cs="Arial" w:hAnsi="Arial"/>
          <w:b w:val="true"/>
          <w:sz w:val="22"/>
        </w:rPr>
        <w:t>在保持预测精度的前提下，将训练速度提升了10倍以上，内存占用降低了90%</w:t>
      </w:r>
      <w:r>
        <w:rPr>
          <w:rFonts w:eastAsia="等线" w:ascii="Arial" w:cs="Arial" w:hAnsi="Arial"/>
          <w:sz w:val="22"/>
        </w:rPr>
        <w:t>，从而解决了电力负荷预测中数据量大、特征维度高、实时性要求强的核心痛点</w:t>
      </w:r>
      <w:hyperlink r:id="rId6">
        <w:r>
          <w:rPr>
            <w:rFonts w:eastAsia="等线" w:ascii="Arial" w:cs="Arial" w:hAnsi="Arial"/>
            <w:color w:val="3370ff"/>
            <w:sz w:val="22"/>
          </w:rPr>
          <w:t>[1]</w:t>
        </w:r>
      </w:hyperlink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关键背景</w:t>
            </w:r>
            <w:r>
              <w:rPr>
                <w:rFonts w:eastAsia="等线" w:ascii="Arial" w:cs="Arial" w:hAnsi="Arial"/>
                <w:sz w:val="22"/>
              </w:rPr>
              <w:t>：在售电业务中，负荷预测面临“万级用户 × 96时段/天”的海量数据，以及温度、光伏、电价、日历等多维特征。传统算法如XGBoost在处理此类数据时，常面临内存不足和计算缓慢的瓶颈，而LightGBM正是为此类场景而生。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概念关系图谱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LightGBM 在机器学习技术栈中的位置及其与相关算法的关系，可通过以下图谱清晰展示：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关系解读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上位概念</w:t>
      </w:r>
      <w:r>
        <w:rPr>
          <w:rFonts w:eastAsia="等线" w:ascii="Arial" w:cs="Arial" w:hAnsi="Arial"/>
          <w:sz w:val="22"/>
        </w:rPr>
        <w:t>：LightGBM属于</w:t>
      </w:r>
      <w:r>
        <w:rPr>
          <w:rFonts w:eastAsia="等线" w:ascii="Arial" w:cs="Arial" w:hAnsi="Arial"/>
          <w:b w:val="true"/>
          <w:sz w:val="22"/>
        </w:rPr>
        <w:t>梯度提升决策树</w:t>
      </w:r>
      <w:r>
        <w:rPr>
          <w:rFonts w:eastAsia="等线" w:ascii="Arial" w:cs="Arial" w:hAnsi="Arial"/>
          <w:sz w:val="22"/>
        </w:rPr>
        <w:t>家族，是该框架的一种高效实现。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并列概念</w:t>
      </w:r>
      <w:r>
        <w:rPr>
          <w:rFonts w:eastAsia="等线" w:ascii="Arial" w:cs="Arial" w:hAnsi="Arial"/>
          <w:sz w:val="22"/>
        </w:rPr>
        <w:t>：与</w:t>
      </w:r>
      <w:r>
        <w:rPr>
          <w:rFonts w:eastAsia="等线" w:ascii="Arial" w:cs="Arial" w:hAnsi="Arial"/>
          <w:b w:val="true"/>
          <w:sz w:val="22"/>
        </w:rPr>
        <w:t>XGBoost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CatBoost</w:t>
      </w:r>
      <w:r>
        <w:rPr>
          <w:rFonts w:eastAsia="等线" w:ascii="Arial" w:cs="Arial" w:hAnsi="Arial"/>
          <w:sz w:val="22"/>
        </w:rPr>
        <w:t xml:space="preserve"> 同为GBDT的主流实现，但优化策略各有侧重。XGBoost追求极致精度，CatBoost擅长处理类别特征，而LightGBM专攻效率。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核心组件</w:t>
      </w:r>
      <w:r>
        <w:rPr>
          <w:rFonts w:eastAsia="等线" w:ascii="Arial" w:cs="Arial" w:hAnsi="Arial"/>
          <w:sz w:val="22"/>
        </w:rPr>
        <w:t>：其性能优势源于四大核心算法模块：</w:t>
      </w:r>
      <w:r>
        <w:rPr>
          <w:rFonts w:eastAsia="等线" w:ascii="Arial" w:cs="Arial" w:hAnsi="Arial"/>
          <w:b w:val="true"/>
          <w:sz w:val="22"/>
        </w:rPr>
        <w:t>直方图算法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叶子优先生长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梯度单边采样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互斥特征捆绑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应用出口</w:t>
      </w:r>
      <w:r>
        <w:rPr>
          <w:rFonts w:eastAsia="等线" w:ascii="Arial" w:cs="Arial" w:hAnsi="Arial"/>
          <w:sz w:val="22"/>
        </w:rPr>
        <w:t>：在电力领域，直接服务于日滚动交易、月度合同、偏差考核与光伏消纳预测等核心业务场景。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二、四层递进解析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第一层：直觉层（它是什么？）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本层旨在通过生活化类比，建立对LightGBM功能与价值的直观理解。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核心类比：LightGBM 如同一位经验丰富的金牌预测员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见多识广</w:t>
      </w:r>
      <w:r>
        <w:rPr>
          <w:rFonts w:eastAsia="等线" w:ascii="Arial" w:cs="Arial" w:hAnsi="Arial"/>
          <w:sz w:val="22"/>
        </w:rPr>
        <w:t>：通过多轮迭代学习历史数据，积累海量“预测经验”。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抓大放小</w:t>
      </w:r>
      <w:r>
        <w:rPr>
          <w:rFonts w:eastAsia="等线" w:ascii="Arial" w:cs="Arial" w:hAnsi="Arial"/>
          <w:sz w:val="22"/>
        </w:rPr>
        <w:t>：运用“直方图”快速总结规律，并优先处理预测误差大的关键样本。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重点突破</w:t>
      </w:r>
      <w:r>
        <w:rPr>
          <w:rFonts w:eastAsia="等线" w:ascii="Arial" w:cs="Arial" w:hAnsi="Arial"/>
          <w:sz w:val="22"/>
        </w:rPr>
        <w:t>：采用“叶子优先生长”策略，专门死磕预测不准的复杂场景。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高效产出</w:t>
      </w:r>
      <w:r>
        <w:rPr>
          <w:rFonts w:eastAsia="等线" w:ascii="Arial" w:cs="Arial" w:hAnsi="Arial"/>
          <w:sz w:val="22"/>
        </w:rPr>
        <w:t>：凭借轻量化设计，用普通设备就能分钟级完成预测任务。</w:t>
      </w:r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类比局限性</w:t>
            </w:r>
            <w:r>
              <w:rPr>
                <w:rFonts w:eastAsia="等线" w:ascii="Arial" w:cs="Arial" w:hAnsi="Arial"/>
                <w:sz w:val="22"/>
              </w:rPr>
              <w:t>：此比喻仅说明了LightGBM“做什么”（快速精准预测），但未解释其底层“怎么做”。金牌预测员的“经验”是模糊的，而LightGBM的学习过程是由严格的数学公式和算法步骤驱动的。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四大核心算法的通俗解释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直方图算法</w:t>
      </w:r>
      <w:r>
        <w:rPr>
          <w:rFonts w:eastAsia="等线" w:ascii="Arial" w:cs="Arial" w:hAnsi="Arial"/>
          <w:sz w:val="22"/>
        </w:rPr>
        <w:t>：给连续数据“打包分组”。例如，将10-15℃、15-20℃的温度分别打包，对比时只需看分组均值，无需逐个比较具体数值。</w:t>
      </w: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：内存占用降低90%，速度提升10倍以上。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叶子优先生长算法</w:t>
      </w:r>
      <w:r>
        <w:rPr>
          <w:rFonts w:eastAsia="等线" w:ascii="Arial" w:cs="Arial" w:hAnsi="Arial"/>
          <w:sz w:val="22"/>
        </w:rPr>
        <w:t>：哪里猜不准，就集中资源优化哪里。不同于传统算法平均用力，它只盯着预测误差最大的分支进行深度分裂。</w:t>
      </w: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：对尖峰负荷、节假日等特殊场景的预测准确率提升显著。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梯度单边采样算法</w:t>
      </w:r>
      <w:r>
        <w:rPr>
          <w:rFonts w:eastAsia="等线" w:ascii="Arial" w:cs="Arial" w:hAnsi="Arial"/>
          <w:sz w:val="22"/>
        </w:rPr>
        <w:t>：抓大放小，保留关键信息。100%保留预测误差大（梯度大）的异常样本，仅对误差小的常规样本进行随机抽样。</w:t>
      </w: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：即便新用户只有几天历史数据，也能训练出相对准确的模型。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互斥特征捆绑算法</w:t>
      </w:r>
      <w:r>
        <w:rPr>
          <w:rFonts w:eastAsia="等线" w:ascii="Arial" w:cs="Arial" w:hAnsi="Arial"/>
          <w:sz w:val="22"/>
        </w:rPr>
        <w:t>：为“互斥”的特征安排“共享工位”。例如，“晴天”和“暴雨”不可能同时出现，可以将它们捆绑为一个复合特征。</w:t>
      </w: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：在内存限制下支持输入更多特征，提升模型表达能力。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第二层：机制层（它如何工作？）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本层剖析LightGBM实现“快且准”的内在机制与工作流程。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核心机制：“两个加速器 + 两个优化器”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解决原理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对负荷预测的价值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直方图算法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海量连续值特征比较慢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将连续值离散化为直方图桶，基于桶统计量寻找最优分裂点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实现分钟级模型训练，满足交易实时性要求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互斥特征捆绑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特征维度高导致内存爆炸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寻找几乎不同时取非零值的特征，将其捆绑以减少特征数量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可融入更多气象、日历、事件标记特征，提升预测维度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叶子优先生长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均匀分裂浪费算力在已预测准的区域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每次选择当前所有叶子节点中分裂增益最大的一个进行分裂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精准优化负荷曲线的波峰、波谷等关键形态点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梯度单边采样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大量常规样本淹没少数关键异常样本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保留全部大梯度样本，对小梯度样本进行随机采样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增强模型对极端天气、突发事件的响应能力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LightGBM负荷预测工作流程</w:t>
      </w:r>
      <w:r>
        <w:rPr>
          <w:rFonts w:eastAsia="等线" w:ascii="Arial" w:cs="Arial" w:hAnsi="Arial"/>
          <w:sz w:val="22"/>
        </w:rPr>
        <w:t>从原始数据到最终预测值，LightGBM的执行遵循一个清晰的、分层处理的流程：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流程解读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输入层</w:t>
      </w:r>
      <w:r>
        <w:rPr>
          <w:rFonts w:eastAsia="等线" w:ascii="Arial" w:cs="Arial" w:hAnsi="Arial"/>
          <w:sz w:val="22"/>
        </w:rPr>
        <w:t>：整合历史负荷、多维度天气（温度、湿度、风速）、日历信息（节假日、工作日）及光伏出力特征。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效率优化层</w:t>
      </w:r>
      <w:r>
        <w:rPr>
          <w:rFonts w:eastAsia="等线" w:ascii="Arial" w:cs="Arial" w:hAnsi="Arial"/>
          <w:sz w:val="22"/>
        </w:rPr>
        <w:t>：先通过</w:t>
      </w:r>
      <w:r>
        <w:rPr>
          <w:rFonts w:eastAsia="等线" w:ascii="Arial" w:cs="Arial" w:hAnsi="Arial"/>
          <w:b w:val="true"/>
          <w:sz w:val="22"/>
        </w:rPr>
        <w:t>直方图算法</w:t>
      </w:r>
      <w:r>
        <w:rPr>
          <w:rFonts w:eastAsia="等线" w:ascii="Arial" w:cs="Arial" w:hAnsi="Arial"/>
          <w:sz w:val="22"/>
        </w:rPr>
        <w:t>压缩数据，再通过</w:t>
      </w:r>
      <w:r>
        <w:rPr>
          <w:rFonts w:eastAsia="等线" w:ascii="Arial" w:cs="Arial" w:hAnsi="Arial"/>
          <w:b w:val="true"/>
          <w:sz w:val="22"/>
        </w:rPr>
        <w:t>互斥特征捆绑</w:t>
      </w:r>
      <w:r>
        <w:rPr>
          <w:rFonts w:eastAsia="等线" w:ascii="Arial" w:cs="Arial" w:hAnsi="Arial"/>
          <w:sz w:val="22"/>
        </w:rPr>
        <w:t>降低特征维度，解决“跑不动”的问题。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精度优化层</w:t>
      </w:r>
      <w:r>
        <w:rPr>
          <w:rFonts w:eastAsia="等线" w:ascii="Arial" w:cs="Arial" w:hAnsi="Arial"/>
          <w:sz w:val="22"/>
        </w:rPr>
        <w:t>：在高效的数据表示上，利用</w:t>
      </w:r>
      <w:r>
        <w:rPr>
          <w:rFonts w:eastAsia="等线" w:ascii="Arial" w:cs="Arial" w:hAnsi="Arial"/>
          <w:b w:val="true"/>
          <w:sz w:val="22"/>
        </w:rPr>
        <w:t>梯度单边采样</w:t>
      </w:r>
      <w:r>
        <w:rPr>
          <w:rFonts w:eastAsia="等线" w:ascii="Arial" w:cs="Arial" w:hAnsi="Arial"/>
          <w:sz w:val="22"/>
        </w:rPr>
        <w:t>聚焦关键样本，并通过</w:t>
      </w:r>
      <w:r>
        <w:rPr>
          <w:rFonts w:eastAsia="等线" w:ascii="Arial" w:cs="Arial" w:hAnsi="Arial"/>
          <w:b w:val="true"/>
          <w:sz w:val="22"/>
        </w:rPr>
        <w:t>叶子优先生长</w:t>
      </w:r>
      <w:r>
        <w:rPr>
          <w:rFonts w:eastAsia="等线" w:ascii="Arial" w:cs="Arial" w:hAnsi="Arial"/>
          <w:sz w:val="22"/>
        </w:rPr>
        <w:t>策略进行精准模型迭代，解决“不准”的问题。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输出层</w:t>
      </w:r>
      <w:r>
        <w:rPr>
          <w:rFonts w:eastAsia="等线" w:ascii="Arial" w:cs="Arial" w:hAnsi="Arial"/>
          <w:sz w:val="22"/>
        </w:rPr>
        <w:t>：集成多棵决策树的预测结果，通过加权平均输出最终96点负荷曲线预测值。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第三层：形式化层（它的数学表达？）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本层揭示驱动LightGBM运行的底层数学模型与公式。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公式1：梯度提升的迭代思想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(x)=</m:t>
          </m:r>
          <m:sSub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m−1</m:t>
              </m:r>
            </m:sub>
          </m:sSub>
          <m:r>
            <w:rPr>
              <w:rFonts w:ascii="Cambria Math" w:hAnsi="Cambria Math"/>
            </w:rPr>
            <m:t>(x)+η⋅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(x)</m:t>
          </m:r>
        </m:oMath>
      </m:oMathPara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自然语言解释</w:t>
      </w:r>
      <w:r>
        <w:rPr>
          <w:rFonts w:eastAsia="等线" w:ascii="Arial" w:cs="Arial" w:hAnsi="Arial"/>
          <w:sz w:val="22"/>
        </w:rPr>
        <w:t xml:space="preserve">：第 </w:t>
      </w:r>
      <w:r>
        <w:rPr>
          <w:rFonts w:eastAsia="Consolas" w:ascii="Consolas" w:cs="Consolas" w:hAnsi="Consolas"/>
          <w:sz w:val="22"/>
          <w:shd w:fill="EFF0F1"/>
        </w:rPr>
        <w:t>m</w:t>
      </w:r>
      <w:r>
        <w:rPr>
          <w:rFonts w:eastAsia="等线" w:ascii="Arial" w:cs="Arial" w:hAnsi="Arial"/>
          <w:sz w:val="22"/>
        </w:rPr>
        <w:t xml:space="preserve"> 轮的预测模型，是在第 </w:t>
      </w:r>
      <w:r>
        <w:rPr>
          <w:rFonts w:eastAsia="Consolas" w:ascii="Consolas" w:cs="Consolas" w:hAnsi="Consolas"/>
          <w:sz w:val="22"/>
          <w:shd w:fill="EFF0F1"/>
        </w:rPr>
        <w:t>m-1</w:t>
      </w:r>
      <w:r>
        <w:rPr>
          <w:rFonts w:eastAsia="等线" w:ascii="Arial" w:cs="Arial" w:hAnsi="Arial"/>
          <w:sz w:val="22"/>
        </w:rPr>
        <w:t xml:space="preserve"> 轮模型的基础上，加上一个由新决策树 </w:t>
      </w:r>
      <w:r>
        <w:rPr>
          <w:rFonts w:eastAsia="Consolas" w:ascii="Consolas" w:cs="Consolas" w:hAnsi="Consolas"/>
          <w:sz w:val="22"/>
          <w:shd w:fill="EFF0F1"/>
        </w:rPr>
        <w:t>h_m(x)</w:t>
      </w:r>
      <w:r>
        <w:rPr>
          <w:rFonts w:eastAsia="等线" w:ascii="Arial" w:cs="Arial" w:hAnsi="Arial"/>
          <w:sz w:val="22"/>
        </w:rPr>
        <w:t xml:space="preserve"> 给出的、经过学习率 </w:t>
      </w:r>
      <w:r>
        <w:rPr>
          <w:rFonts w:eastAsia="Consolas" w:ascii="Consolas" w:cs="Consolas" w:hAnsi="Consolas"/>
          <w:sz w:val="22"/>
          <w:shd w:fill="EFF0F1"/>
        </w:rPr>
        <w:t>η</w:t>
      </w:r>
      <w:r>
        <w:rPr>
          <w:rFonts w:eastAsia="等线" w:ascii="Arial" w:cs="Arial" w:hAnsi="Arial"/>
          <w:sz w:val="22"/>
        </w:rPr>
        <w:t xml:space="preserve"> 缩放的修正项。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符号定义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F_m(x)</w:t>
      </w:r>
      <w:r>
        <w:rPr>
          <w:rFonts w:eastAsia="等线" w:ascii="Arial" w:cs="Arial" w:hAnsi="Arial"/>
          <w:sz w:val="22"/>
        </w:rPr>
        <w:t xml:space="preserve">：经过 </w:t>
      </w:r>
      <w:r>
        <w:rPr>
          <w:rFonts w:eastAsia="Consolas" w:ascii="Consolas" w:cs="Consolas" w:hAnsi="Consolas"/>
          <w:sz w:val="22"/>
          <w:shd w:fill="EFF0F1"/>
        </w:rPr>
        <w:t>m</w:t>
      </w:r>
      <w:r>
        <w:rPr>
          <w:rFonts w:eastAsia="等线" w:ascii="Arial" w:cs="Arial" w:hAnsi="Arial"/>
          <w:sz w:val="22"/>
        </w:rPr>
        <w:t xml:space="preserve"> 轮迭代后的集成预测模型。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η</w:t>
      </w:r>
      <w:r>
        <w:rPr>
          <w:rFonts w:eastAsia="等线" w:ascii="Arial" w:cs="Arial" w:hAnsi="Arial"/>
          <w:sz w:val="22"/>
        </w:rPr>
        <w:t>：学习率，一个介于0和1之间的超参数，控制每棵新树对最终模型的贡献程度，防止过拟合。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h_m(x)</w:t>
      </w:r>
      <w:r>
        <w:rPr>
          <w:rFonts w:eastAsia="等线" w:ascii="Arial" w:cs="Arial" w:hAnsi="Arial"/>
          <w:sz w:val="22"/>
        </w:rPr>
        <w:t xml:space="preserve">：第 </w:t>
      </w:r>
      <w:r>
        <w:rPr>
          <w:rFonts w:eastAsia="Consolas" w:ascii="Consolas" w:cs="Consolas" w:hAnsi="Consolas"/>
          <w:sz w:val="22"/>
          <w:shd w:fill="EFF0F1"/>
        </w:rPr>
        <w:t>m</w:t>
      </w:r>
      <w:r>
        <w:rPr>
          <w:rFonts w:eastAsia="等线" w:ascii="Arial" w:cs="Arial" w:hAnsi="Arial"/>
          <w:sz w:val="22"/>
        </w:rPr>
        <w:t xml:space="preserve"> 轮训练出的基学习器（即一棵决策树），其目标是拟合当前模型的残差（预测误差）。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业务直觉</w:t>
      </w:r>
      <w:r>
        <w:rPr>
          <w:rFonts w:eastAsia="等线" w:ascii="Arial" w:cs="Arial" w:hAnsi="Arial"/>
          <w:sz w:val="22"/>
        </w:rPr>
        <w:t>：该过程如同“老中医调理”，不追求一剂猛药根治，而是通过多轮小幅、定向的修正（一棵棵小树），逐步逼近真实复杂的负荷变化规律。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公式2：决策树的分裂收益计算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Gain</m:t>
          </m: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+λ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+λ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+λ</m:t>
              </m:r>
            </m:den>
          </m:f>
          <m: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−γ</m:t>
          </m:r>
        </m:oMath>
      </m:oMathPara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自然语言解释</w:t>
      </w:r>
      <w:r>
        <w:rPr>
          <w:rFonts w:eastAsia="等线" w:ascii="Arial" w:cs="Arial" w:hAnsi="Arial"/>
          <w:sz w:val="22"/>
        </w:rPr>
        <w:t xml:space="preserve">：评估将一个父节点分裂为左右两个子节点所带来的收益。收益等于分裂后左右子节点的“分数”之和，减去分裂前父节点的“分数”，再减去一个正则化惩罚项 </w:t>
      </w:r>
      <w:r>
        <w:rPr>
          <w:rFonts w:eastAsia="Consolas" w:ascii="Consolas" w:cs="Consolas" w:hAnsi="Consolas"/>
          <w:sz w:val="22"/>
          <w:shd w:fill="EFF0F1"/>
        </w:rPr>
        <w:t>γ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符号定义（简化理解）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G_L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G_R</w:t>
      </w:r>
      <w:r>
        <w:rPr>
          <w:rFonts w:eastAsia="等线" w:ascii="Arial" w:cs="Arial" w:hAnsi="Arial"/>
          <w:sz w:val="22"/>
        </w:rPr>
        <w:t>：左右子节点样本的一阶梯度（负梯度近似为残差）之和。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H_L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H_R</w:t>
      </w:r>
      <w:r>
        <w:rPr>
          <w:rFonts w:eastAsia="等线" w:ascii="Arial" w:cs="Arial" w:hAnsi="Arial"/>
          <w:sz w:val="22"/>
        </w:rPr>
        <w:t>：左右子节点样本的二阶梯度之和。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λ</w:t>
      </w:r>
      <w:r>
        <w:rPr>
          <w:rFonts w:eastAsia="等线" w:ascii="Arial" w:cs="Arial" w:hAnsi="Arial"/>
          <w:sz w:val="22"/>
        </w:rPr>
        <w:t>：L2正则化系数，惩罚叶子节点权值过大，防止模型复杂度过高。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γ</w:t>
      </w:r>
      <w:r>
        <w:rPr>
          <w:rFonts w:eastAsia="等线" w:ascii="Arial" w:cs="Arial" w:hAnsi="Arial"/>
          <w:sz w:val="22"/>
        </w:rPr>
        <w:t>：叶子分裂阈值，分裂带来的增益必须大于此值才会执行，直接控制树的结构复杂度。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业务直觉</w:t>
      </w:r>
      <w:r>
        <w:rPr>
          <w:rFonts w:eastAsia="等线" w:ascii="Arial" w:cs="Arial" w:hAnsi="Arial"/>
          <w:sz w:val="22"/>
        </w:rPr>
        <w:t xml:space="preserve">：LightGBM的 </w:t>
      </w:r>
      <w:r>
        <w:rPr>
          <w:rFonts w:eastAsia="等线" w:ascii="Arial" w:cs="Arial" w:hAnsi="Arial"/>
          <w:b w:val="true"/>
          <w:sz w:val="22"/>
        </w:rPr>
        <w:t>Leaf-wise</w:t>
      </w:r>
      <w:r>
        <w:rPr>
          <w:rFonts w:eastAsia="等线" w:ascii="Arial" w:cs="Arial" w:hAnsi="Arial"/>
          <w:sz w:val="22"/>
        </w:rPr>
        <w:t xml:space="preserve"> 策略，就是每次都选择当前所有叶子节点中，根据此公式计算出的 </w:t>
      </w:r>
      <w:r>
        <w:rPr>
          <w:rFonts w:eastAsia="等线" w:ascii="Arial" w:cs="Arial" w:hAnsi="Arial"/>
          <w:b w:val="true"/>
          <w:sz w:val="22"/>
        </w:rPr>
        <w:t>Gain</w:t>
      </w:r>
      <w:r>
        <w:rPr>
          <w:rFonts w:eastAsia="等线" w:ascii="Arial" w:cs="Arial" w:hAnsi="Arial"/>
          <w:sz w:val="22"/>
        </w:rPr>
        <w:t xml:space="preserve"> 最大的那个进行分裂。这确保了计算资源永远被投入到最能减少整体预测误差的地方。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第四层：权衡层（它的边界在哪？）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没有完美的模型，只有适合的场景。本层明确LightGBM在负荷预测应用中的局限性及应对策略。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局限类型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根本原因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数据分布外推能力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对历史未见的极端天气（如特大台风、罕见寒潮）预测偏差大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模型学习的是历史数据中的统计规律，无法创造“知识”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引入更细颗粒度的气象特征（如风速、气压）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建立极端天气专项预警与人工修正机制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政策与事件敏感性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对突发性限电通知、临时性节假日调休等响应滞后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此类事件难以量化且缺乏规律性，历史样本少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添加“事件标记”特征（0/1变量）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构建事件知识库，触发时采用规则引擎辅助修正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冷启动问题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对新接入用户（仅有3-7天数据）初期预测不准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缺乏足够的历史数据供模型学习其用电模式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利用</w:t>
            </w:r>
            <w:r>
              <w:rPr>
                <w:rFonts w:eastAsia="等线" w:ascii="Arial" w:cs="Arial" w:hAnsi="Arial"/>
                <w:b w:val="true"/>
                <w:sz w:val="22"/>
              </w:rPr>
              <w:t>GOSS</w:t>
            </w:r>
            <w:r>
              <w:rPr>
                <w:rFonts w:eastAsia="等线" w:ascii="Arial" w:cs="Arial" w:hAnsi="Arial"/>
                <w:sz w:val="22"/>
              </w:rPr>
              <w:t>算法保留少量关键样本的完整性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采用迁移学习，用相似用户群的模型进行初始化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复杂系统耦合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对含光伏、储能、电动汽车充电桩的多元系统，负荷耦合关系复杂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简单特征交叉难以刻画多能流深度交互的非线性关系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构造物理引导的交叉特征（如“温度×光伏装机容量”）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考虑采用LightGBM与深度学习模型混合的架构</w:t>
            </w:r>
          </w:p>
        </w:tc>
      </w:tr>
    </w:tbl>
    <w:p/>
    <w:tbl>
      <w:tblPr>
        <w:tblW w:w="0" w:type="auto"/>
        <w:tblInd w:w="0" w:type="dxa"/>
        <w:tblBorders>
          <w:top w:val="single" w:color="b7edb1"/>
          <w:left w:val="single" w:color="b7edb1"/>
          <w:bottom w:val="single" w:color="b7edb1"/>
          <w:right w:val="single" w:color="b7edb1"/>
          <w:insideH w:val="single" w:color="b7edb1"/>
          <w:insideV w:val="single" w:color="b7edb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be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核心权衡</w:t>
            </w:r>
            <w:r>
              <w:rPr>
                <w:rFonts w:eastAsia="等线" w:ascii="Arial" w:cs="Arial" w:hAnsi="Arial"/>
                <w:sz w:val="22"/>
              </w:rPr>
              <w:t>：LightGBM用</w:t>
            </w:r>
            <w:r>
              <w:rPr>
                <w:rFonts w:eastAsia="等线" w:ascii="Arial" w:cs="Arial" w:hAnsi="Arial"/>
                <w:b w:val="true"/>
                <w:sz w:val="22"/>
              </w:rPr>
              <w:t>微小的精度损失</w:t>
            </w:r>
            <w:r>
              <w:rPr>
                <w:rFonts w:eastAsia="等线" w:ascii="Arial" w:cs="Arial" w:hAnsi="Arial"/>
                <w:sz w:val="22"/>
              </w:rPr>
              <w:t>（在某些场景下相较于XGBoost），换来了</w:t>
            </w:r>
            <w:r>
              <w:rPr>
                <w:rFonts w:eastAsia="等线" w:ascii="Arial" w:cs="Arial" w:hAnsi="Arial"/>
                <w:b w:val="true"/>
                <w:sz w:val="22"/>
              </w:rPr>
              <w:t>数量级的效率提升</w:t>
            </w:r>
            <w:r>
              <w:rPr>
                <w:rFonts w:eastAsia="等线" w:ascii="Arial" w:cs="Arial" w:hAnsi="Arial"/>
                <w:sz w:val="22"/>
              </w:rPr>
              <w:t>。在电力交易这种对时效性要求极高、数据量庞大的场景中，这种权衡是明智且必要的。它的设计哲学是：一个能快速迭代、及时响应市场变化的“良好”模型，远胜于一个速度缓慢的“完美”模型。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三、关键对比与实操指南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LightGBM vs. XGBoost：核心差异对比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对于有数据分析背景的从业者，厘清这两个最流行的GBDT实现之间的区别至关重要。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LightGBM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XGBoost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对负荷预测场景的启示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分裂策略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叶子优先生长</w:t>
            </w:r>
            <w:r>
              <w:rPr>
                <w:rFonts w:eastAsia="等线" w:ascii="Arial" w:cs="Arial" w:hAnsi="Arial"/>
                <w:sz w:val="22"/>
              </w:rPr>
              <w:t>：深度优先，构建非对称树，精度导向。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层级优先生长</w:t>
            </w:r>
            <w:r>
              <w:rPr>
                <w:rFonts w:eastAsia="等线" w:ascii="Arial" w:cs="Arial" w:hAnsi="Arial"/>
                <w:sz w:val="22"/>
              </w:rPr>
              <w:t>：广度优先，构建平衡树，稳定性导向。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LightGBM更擅长捕捉负荷的尖峰形态；XGBoost整体曲线可能更平滑。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数据工程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直方图算法</w:t>
            </w:r>
            <w:r>
              <w:rPr>
                <w:rFonts w:eastAsia="等线" w:ascii="Arial" w:cs="Arial" w:hAnsi="Arial"/>
                <w:sz w:val="22"/>
              </w:rPr>
              <w:t>：内存占用低，训练速度极快。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预排序算法</w:t>
            </w:r>
            <w:r>
              <w:rPr>
                <w:rFonts w:eastAsia="等线" w:ascii="Arial" w:cs="Arial" w:hAnsi="Arial"/>
                <w:sz w:val="22"/>
              </w:rPr>
              <w:t>：需要存储排序后的特征值，内存消耗高。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LightGBM是处理海量用户96点曲线数据的首选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内存与速度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内存占用低，训练速度非常快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内存占用高，训练速度相对较慢。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在有限的硬件资源下，LightGBM可实现更频繁的模型更新（如每小时滚动训练）。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预测精度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在大多数数据集上与XGBoost相当，在大数据集上可能因算法更高效而表现更好。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以其高度优化和正则化，常作为精度基准。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若数据集不大（如单用户数年数据），且追求极限精度，可优先调优XGBoost。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最佳场景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大数据量（&gt;10万条）、高维特征、需实时或频繁预测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中小数据集、追求理论最优精度、有充足计算资源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售电公司聚合预测场景</w:t>
            </w:r>
            <w:r>
              <w:rPr>
                <w:rFonts w:eastAsia="等线" w:ascii="Arial" w:cs="Arial" w:hAnsi="Arial"/>
                <w:b w:val="true"/>
                <w:sz w:val="22"/>
              </w:rPr>
              <w:t>必须选择LightGBM</w:t>
            </w:r>
            <w:r>
              <w:rPr>
                <w:rFonts w:eastAsia="等线" w:ascii="Arial" w:cs="Arial" w:hAnsi="Arial"/>
                <w:sz w:val="22"/>
              </w:rPr>
              <w:t>；对个别特大用户的专项研究可考虑XGBoost。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调参实战：从问题现象到参数调整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模型效果不佳时，可参照下表进行针对性调参。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问题现象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可能根因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关键调整参数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调整方向与解释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尖峰负荷预测持续偏低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模型对极端值不敏感，树结构过于简单。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num_leaves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max_depth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调高</w:t>
            </w:r>
            <w:r>
              <w:rPr>
                <w:rFonts w:eastAsia="等线" w:ascii="Arial" w:cs="Arial" w:hAnsi="Arial"/>
                <w:sz w:val="22"/>
              </w:rPr>
              <w:t>。增加树的最大叶子数和深度，提升模型对复杂模式的拟合能力。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新用户预测结果荒谬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数据过少，模型过拟合到噪声。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min_data_in_leaf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num_leaves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调高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min_data_in_leaf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调低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num_leaves</w:t>
            </w:r>
            <w:r>
              <w:rPr>
                <w:rFonts w:eastAsia="等线" w:ascii="Arial" w:cs="Arial" w:hAnsi="Arial"/>
                <w:sz w:val="22"/>
              </w:rPr>
              <w:t>。强制模型学习更通用的模式，降低复杂度。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节假日预测完全失效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模型未识别到节假日模式。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feature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增加特征</w:t>
            </w:r>
            <w:r>
              <w:rPr>
                <w:rFonts w:eastAsia="等线" w:ascii="Arial" w:cs="Arial" w:hAnsi="Arial"/>
                <w:sz w:val="22"/>
              </w:rPr>
              <w:t xml:space="preserve">。如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is_holiday</w:t>
            </w:r>
            <w:r>
              <w:rPr>
                <w:rFonts w:eastAsia="等线" w:ascii="Arial" w:cs="Arial" w:hAnsi="Arial"/>
                <w:sz w:val="22"/>
              </w:rPr>
              <w:t>（是否假日）、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holiday_type</w:t>
            </w:r>
            <w:r>
              <w:rPr>
                <w:rFonts w:eastAsia="等线" w:ascii="Arial" w:cs="Arial" w:hAnsi="Arial"/>
                <w:sz w:val="22"/>
              </w:rPr>
              <w:t>（春节/国庆）、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days_to_holiday</w:t>
            </w:r>
            <w:r>
              <w:rPr>
                <w:rFonts w:eastAsia="等线" w:ascii="Arial" w:cs="Arial" w:hAnsi="Arial"/>
                <w:sz w:val="22"/>
              </w:rPr>
              <w:t>（距假日天数）。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模型在训练集上完美，在测试集上差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过拟合，学习了数据中的噪声。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lambda_l1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lambda_l2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min_gain_to_split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调高</w:t>
            </w:r>
            <w:r>
              <w:rPr>
                <w:rFonts w:eastAsia="等线" w:ascii="Arial" w:cs="Arial" w:hAnsi="Arial"/>
                <w:sz w:val="22"/>
              </w:rPr>
              <w:t xml:space="preserve"> L1/L2正则化系数，</w:t>
            </w:r>
            <w:r>
              <w:rPr>
                <w:rFonts w:eastAsia="等线" w:ascii="Arial" w:cs="Arial" w:hAnsi="Arial"/>
                <w:b w:val="true"/>
                <w:sz w:val="22"/>
              </w:rPr>
              <w:t>调高</w:t>
            </w:r>
            <w:r>
              <w:rPr>
                <w:rFonts w:eastAsia="等线" w:ascii="Arial" w:cs="Arial" w:hAnsi="Arial"/>
                <w:sz w:val="22"/>
              </w:rPr>
              <w:t xml:space="preserve"> 分裂最小增益。增加模型泛化约束。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训练速度慢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数据量或特征维度超出预期。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max_bin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feature_fraction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调低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max_bin</w:t>
            </w:r>
            <w:r>
              <w:rPr>
                <w:rFonts w:eastAsia="等线" w:ascii="Arial" w:cs="Arial" w:hAnsi="Arial"/>
                <w:sz w:val="22"/>
              </w:rPr>
              <w:t>（直方图桶数），</w:t>
            </w:r>
            <w:r>
              <w:rPr>
                <w:rFonts w:eastAsia="等线" w:ascii="Arial" w:cs="Arial" w:hAnsi="Arial"/>
                <w:b w:val="true"/>
                <w:sz w:val="22"/>
              </w:rPr>
              <w:t>调低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feature_fraction</w:t>
            </w:r>
            <w:r>
              <w:rPr>
                <w:rFonts w:eastAsia="等线" w:ascii="Arial" w:cs="Arial" w:hAnsi="Arial"/>
                <w:sz w:val="22"/>
              </w:rPr>
              <w:t>（每棵树使用的特征比例）。以精度换速度。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误差分析与优化闭环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建立标准的误差复盘流程，是持续提升预测精度的关键。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误差量化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计算日度 </w:t>
      </w:r>
      <w:r>
        <w:rPr>
          <w:rFonts w:eastAsia="等线" w:ascii="Arial" w:cs="Arial" w:hAnsi="Arial"/>
          <w:b w:val="true"/>
          <w:sz w:val="22"/>
        </w:rPr>
        <w:t>MAPE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MAE</w:t>
      </w:r>
      <w:r>
        <w:rPr>
          <w:rFonts w:eastAsia="等线" w:ascii="Arial" w:cs="Arial" w:hAnsi="Arial"/>
          <w:sz w:val="22"/>
        </w:rPr>
        <w:t>，特别是高峰时段的误差。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计算日</w:t>
      </w:r>
      <w:r>
        <w:rPr>
          <w:rFonts w:eastAsia="等线" w:ascii="Arial" w:cs="Arial" w:hAnsi="Arial"/>
          <w:b w:val="true"/>
          <w:sz w:val="22"/>
        </w:rPr>
        <w:t>偏差率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(实际用电量 - 预测用电量) / 实际用电量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标记偏差率持续超过 </w:t>
      </w:r>
      <w:r>
        <w:rPr>
          <w:rFonts w:eastAsia="等线" w:ascii="Arial" w:cs="Arial" w:hAnsi="Arial"/>
          <w:b w:val="true"/>
          <w:sz w:val="22"/>
        </w:rPr>
        <w:t>±5%</w:t>
      </w:r>
      <w:r>
        <w:rPr>
          <w:rFonts w:eastAsia="等线" w:ascii="Arial" w:cs="Arial" w:hAnsi="Arial"/>
          <w:sz w:val="22"/>
        </w:rPr>
        <w:t xml:space="preserve">（预警阈值）或 </w:t>
      </w:r>
      <w:r>
        <w:rPr>
          <w:rFonts w:eastAsia="等线" w:ascii="Arial" w:cs="Arial" w:hAnsi="Arial"/>
          <w:b w:val="true"/>
          <w:sz w:val="22"/>
        </w:rPr>
        <w:t>±10%</w:t>
      </w:r>
      <w:r>
        <w:rPr>
          <w:rFonts w:eastAsia="等线" w:ascii="Arial" w:cs="Arial" w:hAnsi="Arial"/>
          <w:sz w:val="22"/>
        </w:rPr>
        <w:t>（高危阈值）的用户。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误差定位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分用户</w:t>
      </w:r>
      <w:r>
        <w:rPr>
          <w:rFonts w:eastAsia="等线" w:ascii="Arial" w:cs="Arial" w:hAnsi="Arial"/>
          <w:sz w:val="22"/>
        </w:rPr>
        <w:t>：误差集中在工商业用户还是居民用户？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分时段</w:t>
      </w:r>
      <w:r>
        <w:rPr>
          <w:rFonts w:eastAsia="等线" w:ascii="Arial" w:cs="Arial" w:hAnsi="Arial"/>
          <w:sz w:val="22"/>
        </w:rPr>
        <w:t>：误差主要出现在高峰、平段还是谷段？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分条件</w:t>
      </w:r>
      <w:r>
        <w:rPr>
          <w:rFonts w:eastAsia="等线" w:ascii="Arial" w:cs="Arial" w:hAnsi="Arial"/>
          <w:sz w:val="22"/>
        </w:rPr>
        <w:t>：在高温天、雨天还是节假日误差更大？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根因归因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数据问题</w:t>
      </w:r>
      <w:r>
        <w:rPr>
          <w:rFonts w:eastAsia="等线" w:ascii="Arial" w:cs="Arial" w:hAnsi="Arial"/>
          <w:sz w:val="22"/>
        </w:rPr>
        <w:t>：是否存在数据缺失、采集异常？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特征问题</w:t>
      </w:r>
      <w:r>
        <w:rPr>
          <w:rFonts w:eastAsia="等线" w:ascii="Arial" w:cs="Arial" w:hAnsi="Arial"/>
          <w:sz w:val="22"/>
        </w:rPr>
        <w:t>：是否缺少关键特征（如未考虑大型活动）？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模型问题</w:t>
      </w:r>
      <w:r>
        <w:rPr>
          <w:rFonts w:eastAsia="等线" w:ascii="Arial" w:cs="Arial" w:hAnsi="Arial"/>
          <w:sz w:val="22"/>
        </w:rPr>
        <w:t>：参数是否适应当前数据分布？是否需要针对特定用户群重建模？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根据归因结果，实施特征工程、参数调整或数据清洗。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等线" w:ascii="Arial" w:cs="Arial" w:hAnsi="Arial"/>
          <w:b w:val="true"/>
          <w:sz w:val="22"/>
        </w:rPr>
        <w:t>滚动时间窗口交叉验证</w:t>
      </w:r>
      <w:r>
        <w:rPr>
          <w:rFonts w:eastAsia="等线" w:ascii="Arial" w:cs="Arial" w:hAnsi="Arial"/>
          <w:sz w:val="22"/>
        </w:rPr>
        <w:t>评估优化效果，确保改进是稳定、泛化的。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将有效的优化策略固化为标准操作流程或自动化脚本。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四、术语表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直方图算法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Histogram Algorithm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将连续特征值离散化到固定数量的桶中，基于桶的统计量（如梯度之和）来寻找最优特征分裂点的算法，是LightGBM效率的核心。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叶子优先生长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Leaf-wise Growth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一种决策树生长策略，每次迭代选择当前所有叶子节点中分裂增益最大的一个进行分裂，而非按层均匀分裂，旨在更快地降低损失。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梯度单边采样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Gradient-based One-Side Sampling (GOSS)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一种数据采样技术，保留所有梯度（误差）较大的样本，并对梯度较小的样本进行随机采样，以在保证精度的前提下提升训练效率。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互斥特征捆绑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Exclusive Feature Bundling (EFB)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将几乎不会同时取非零值的特征捆绑在一起，从而将高维稀疏特征压缩为低维稠密特征的技术，用于减少内存占用和计算开销。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平均绝对百分比误差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 Absolute Percentage Error (MAPE)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负荷预测最核心的评估指标，计算公式为 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偏差率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Deviation Rate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电力交易中的考核指标，指实际用电量与合同电量（通常基于预测）的偏差占实际用电量的百分比，直接关联经济考核。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过拟合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Overfitting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模型在训练数据上表现优异，但在未见过的测试数据或新数据上表现显著下降的现象，意味着模型过度学习了训练数据中的噪声而非普遍规律。</w:t>
            </w:r>
          </w:p>
        </w:tc>
      </w:tr>
    </w:tbl>
    <w:p/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6f1f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文档总结</w:t>
            </w:r>
            <w:r>
              <w:rPr>
                <w:rFonts w:eastAsia="等线" w:ascii="Arial" w:cs="Arial" w:hAnsi="Arial"/>
                <w:sz w:val="22"/>
              </w:rPr>
              <w:t>：LightGBM并非一个神秘的“黑箱”，其高效能的本质是</w:t>
            </w:r>
            <w:r>
              <w:rPr>
                <w:rFonts w:eastAsia="等线" w:ascii="Arial" w:cs="Arial" w:hAnsi="Arial"/>
                <w:b w:val="true"/>
                <w:sz w:val="22"/>
              </w:rPr>
              <w:t>针对大规模数据场景的精准算法设计</w:t>
            </w:r>
            <w:r>
              <w:rPr>
                <w:rFonts w:eastAsia="等线" w:ascii="Arial" w:cs="Arial" w:hAnsi="Arial"/>
                <w:sz w:val="22"/>
              </w:rPr>
              <w:t>。对于售电部门的同仁而言，理解其“</w:t>
            </w:r>
            <w:r>
              <w:rPr>
                <w:rFonts w:eastAsia="等线" w:ascii="Arial" w:cs="Arial" w:hAnsi="Arial"/>
                <w:b w:val="true"/>
                <w:sz w:val="22"/>
              </w:rPr>
              <w:t>直方图加速</w:t>
            </w:r>
            <w:r>
              <w:rPr>
                <w:rFonts w:eastAsia="等线" w:ascii="Arial" w:cs="Arial" w:hAnsi="Arial"/>
                <w:sz w:val="22"/>
              </w:rPr>
              <w:t>”与“</w:t>
            </w:r>
            <w:r>
              <w:rPr>
                <w:rFonts w:eastAsia="等线" w:ascii="Arial" w:cs="Arial" w:hAnsi="Arial"/>
                <w:b w:val="true"/>
                <w:sz w:val="22"/>
              </w:rPr>
              <w:t>Leaf-wise优化</w:t>
            </w:r>
            <w:r>
              <w:rPr>
                <w:rFonts w:eastAsia="等线" w:ascii="Arial" w:cs="Arial" w:hAnsi="Arial"/>
                <w:sz w:val="22"/>
              </w:rPr>
              <w:t>”的核心思想，比深究所有数学细节更为重要。在实际工作中，应将其视为一个强大且高效的工具，重点掌握</w:t>
            </w:r>
            <w:r>
              <w:rPr>
                <w:rFonts w:eastAsia="等线" w:ascii="Arial" w:cs="Arial" w:hAnsi="Arial"/>
                <w:b w:val="true"/>
                <w:sz w:val="22"/>
              </w:rPr>
              <w:t>场景适配</w:t>
            </w:r>
            <w:r>
              <w:rPr>
                <w:rFonts w:eastAsia="等线" w:ascii="Arial" w:cs="Arial" w:hAnsi="Arial"/>
                <w:sz w:val="22"/>
              </w:rPr>
              <w:t>（何时用）、</w:t>
            </w:r>
            <w:r>
              <w:rPr>
                <w:rFonts w:eastAsia="等线" w:ascii="Arial" w:cs="Arial" w:hAnsi="Arial"/>
                <w:b w:val="true"/>
                <w:sz w:val="22"/>
              </w:rPr>
              <w:t>参数调优</w:t>
            </w:r>
            <w:r>
              <w:rPr>
                <w:rFonts w:eastAsia="等线" w:ascii="Arial" w:cs="Arial" w:hAnsi="Arial"/>
                <w:sz w:val="22"/>
              </w:rPr>
              <w:t>（怎么调好）和</w:t>
            </w:r>
            <w:r>
              <w:rPr>
                <w:rFonts w:eastAsia="等线" w:ascii="Arial" w:cs="Arial" w:hAnsi="Arial"/>
                <w:b w:val="true"/>
                <w:sz w:val="22"/>
              </w:rPr>
              <w:t>误差分析</w:t>
            </w:r>
            <w:r>
              <w:rPr>
                <w:rFonts w:eastAsia="等线" w:ascii="Arial" w:cs="Arial" w:hAnsi="Arial"/>
                <w:sz w:val="22"/>
              </w:rPr>
              <w:t>（如何改进）这三个关键环节，从而在激烈的电力市场竞争中，将数据预测能力切实转化为规避考核风险、提升交易收益的核心优势。</w:t>
            </w:r>
          </w:p>
        </w:tc>
      </w:tr>
    </w:tbl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9923">
    <w:lvl>
      <w:numFmt w:val="bullet"/>
      <w:suff w:val="tab"/>
      <w:lvlText w:val="•"/>
      <w:rPr>
        <w:color w:val="3370ff"/>
      </w:rPr>
    </w:lvl>
  </w:abstractNum>
  <w:abstractNum w:abstractNumId="1519924">
    <w:lvl>
      <w:numFmt w:val="bullet"/>
      <w:suff w:val="tab"/>
      <w:lvlText w:val="•"/>
      <w:rPr>
        <w:color w:val="3370ff"/>
      </w:rPr>
    </w:lvl>
  </w:abstractNum>
  <w:abstractNum w:abstractNumId="1519925">
    <w:lvl>
      <w:numFmt w:val="bullet"/>
      <w:suff w:val="tab"/>
      <w:lvlText w:val="•"/>
      <w:rPr>
        <w:color w:val="3370ff"/>
      </w:rPr>
    </w:lvl>
  </w:abstractNum>
  <w:abstractNum w:abstractNumId="1519926">
    <w:lvl>
      <w:numFmt w:val="bullet"/>
      <w:suff w:val="tab"/>
      <w:lvlText w:val="•"/>
      <w:rPr>
        <w:color w:val="3370ff"/>
      </w:rPr>
    </w:lvl>
  </w:abstractNum>
  <w:abstractNum w:abstractNumId="1519927">
    <w:lvl>
      <w:numFmt w:val="bullet"/>
      <w:suff w:val="tab"/>
      <w:lvlText w:val="•"/>
      <w:rPr>
        <w:color w:val="3370ff"/>
      </w:rPr>
    </w:lvl>
  </w:abstractNum>
  <w:abstractNum w:abstractNumId="1519928">
    <w:lvl>
      <w:numFmt w:val="bullet"/>
      <w:suff w:val="tab"/>
      <w:lvlText w:val="•"/>
      <w:rPr>
        <w:color w:val="3370ff"/>
      </w:rPr>
    </w:lvl>
  </w:abstractNum>
  <w:abstractNum w:abstractNumId="1519929">
    <w:lvl>
      <w:numFmt w:val="bullet"/>
      <w:suff w:val="tab"/>
      <w:lvlText w:val="•"/>
      <w:rPr>
        <w:color w:val="3370ff"/>
      </w:rPr>
    </w:lvl>
  </w:abstractNum>
  <w:abstractNum w:abstractNumId="1519930">
    <w:lvl>
      <w:numFmt w:val="bullet"/>
      <w:suff w:val="tab"/>
      <w:lvlText w:val="•"/>
      <w:rPr>
        <w:color w:val="3370ff"/>
      </w:rPr>
    </w:lvl>
  </w:abstractNum>
  <w:abstractNum w:abstractNumId="1519931">
    <w:lvl>
      <w:start w:val="1"/>
      <w:numFmt w:val="decimal"/>
      <w:suff w:val="tab"/>
      <w:lvlText w:val="%1."/>
      <w:rPr>
        <w:color w:val="3370ff"/>
      </w:rPr>
    </w:lvl>
  </w:abstractNum>
  <w:abstractNum w:abstractNumId="1519932">
    <w:lvl>
      <w:start w:val="2"/>
      <w:numFmt w:val="decimal"/>
      <w:suff w:val="tab"/>
      <w:lvlText w:val="%1."/>
      <w:rPr>
        <w:color w:val="3370ff"/>
      </w:rPr>
    </w:lvl>
  </w:abstractNum>
  <w:abstractNum w:abstractNumId="1519933">
    <w:lvl>
      <w:start w:val="3"/>
      <w:numFmt w:val="decimal"/>
      <w:suff w:val="tab"/>
      <w:lvlText w:val="%1."/>
      <w:rPr>
        <w:color w:val="3370ff"/>
      </w:rPr>
    </w:lvl>
  </w:abstractNum>
  <w:abstractNum w:abstractNumId="1519934">
    <w:lvl>
      <w:start w:val="4"/>
      <w:numFmt w:val="decimal"/>
      <w:suff w:val="tab"/>
      <w:lvlText w:val="%1."/>
      <w:rPr>
        <w:color w:val="3370ff"/>
      </w:rPr>
    </w:lvl>
  </w:abstractNum>
  <w:abstractNum w:abstractNumId="1519935">
    <w:lvl>
      <w:start w:val="5"/>
      <w:numFmt w:val="decimal"/>
      <w:suff w:val="tab"/>
      <w:lvlText w:val="%1."/>
      <w:rPr>
        <w:color w:val="3370ff"/>
      </w:rPr>
    </w:lvl>
  </w:abstractNum>
  <w:abstractNum w:abstractNumId="1519936">
    <w:lvl>
      <w:start w:val="6"/>
      <w:numFmt w:val="decimal"/>
      <w:suff w:val="tab"/>
      <w:lvlText w:val="%1."/>
      <w:rPr>
        <w:color w:val="3370ff"/>
      </w:rPr>
    </w:lvl>
  </w:abstractNum>
  <w:abstractNum w:abstractNumId="1519937">
    <w:lvl>
      <w:start w:val="7"/>
      <w:numFmt w:val="decimal"/>
      <w:suff w:val="tab"/>
      <w:lvlText w:val="%1."/>
      <w:rPr>
        <w:color w:val="3370ff"/>
      </w:rPr>
    </w:lvl>
  </w:abstractNum>
  <w:abstractNum w:abstractNumId="1519938">
    <w:lvl>
      <w:start w:val="8"/>
      <w:numFmt w:val="decimal"/>
      <w:suff w:val="tab"/>
      <w:lvlText w:val="%1."/>
      <w:rPr>
        <w:color w:val="3370ff"/>
      </w:rPr>
    </w:lvl>
  </w:abstractNum>
  <w:abstractNum w:abstractNumId="1519939">
    <w:lvl>
      <w:numFmt w:val="bullet"/>
      <w:suff w:val="tab"/>
      <w:lvlText w:val="•"/>
      <w:rPr>
        <w:color w:val="3370ff"/>
      </w:rPr>
    </w:lvl>
  </w:abstractNum>
  <w:abstractNum w:abstractNumId="1519940">
    <w:lvl>
      <w:numFmt w:val="bullet"/>
      <w:suff w:val="tab"/>
      <w:lvlText w:val="•"/>
      <w:rPr>
        <w:color w:val="3370ff"/>
      </w:rPr>
    </w:lvl>
  </w:abstractNum>
  <w:abstractNum w:abstractNumId="1519941">
    <w:lvl>
      <w:numFmt w:val="bullet"/>
      <w:suff w:val="tab"/>
      <w:lvlText w:val="￮"/>
      <w:rPr>
        <w:color w:val="3370ff"/>
      </w:rPr>
    </w:lvl>
  </w:abstractNum>
  <w:abstractNum w:abstractNumId="1519942">
    <w:lvl>
      <w:numFmt w:val="bullet"/>
      <w:suff w:val="tab"/>
      <w:lvlText w:val="￮"/>
      <w:rPr>
        <w:color w:val="3370ff"/>
      </w:rPr>
    </w:lvl>
  </w:abstractNum>
  <w:abstractNum w:abstractNumId="1519943">
    <w:lvl>
      <w:numFmt w:val="bullet"/>
      <w:suff w:val="tab"/>
      <w:lvlText w:val="￮"/>
      <w:rPr>
        <w:color w:val="3370ff"/>
      </w:rPr>
    </w:lvl>
  </w:abstractNum>
  <w:abstractNum w:abstractNumId="1519944">
    <w:lvl>
      <w:numFmt w:val="bullet"/>
      <w:suff w:val="tab"/>
      <w:lvlText w:val="•"/>
      <w:rPr>
        <w:color w:val="3370ff"/>
      </w:rPr>
    </w:lvl>
  </w:abstractNum>
  <w:abstractNum w:abstractNumId="1519945">
    <w:lvl>
      <w:numFmt w:val="bullet"/>
      <w:suff w:val="tab"/>
      <w:lvlText w:val="•"/>
      <w:rPr>
        <w:color w:val="3370ff"/>
      </w:rPr>
    </w:lvl>
  </w:abstractNum>
  <w:abstractNum w:abstractNumId="1519946">
    <w:lvl>
      <w:numFmt w:val="bullet"/>
      <w:suff w:val="tab"/>
      <w:lvlText w:val="•"/>
      <w:rPr>
        <w:color w:val="3370ff"/>
      </w:rPr>
    </w:lvl>
  </w:abstractNum>
  <w:abstractNum w:abstractNumId="1519947">
    <w:lvl>
      <w:numFmt w:val="bullet"/>
      <w:suff w:val="tab"/>
      <w:lvlText w:val="￮"/>
      <w:rPr>
        <w:color w:val="3370ff"/>
      </w:rPr>
    </w:lvl>
  </w:abstractNum>
  <w:abstractNum w:abstractNumId="1519948">
    <w:lvl>
      <w:numFmt w:val="bullet"/>
      <w:suff w:val="tab"/>
      <w:lvlText w:val="￮"/>
      <w:rPr>
        <w:color w:val="3370ff"/>
      </w:rPr>
    </w:lvl>
  </w:abstractNum>
  <w:abstractNum w:abstractNumId="1519949">
    <w:lvl>
      <w:numFmt w:val="bullet"/>
      <w:suff w:val="tab"/>
      <w:lvlText w:val="￮"/>
      <w:rPr>
        <w:color w:val="3370ff"/>
      </w:rPr>
    </w:lvl>
  </w:abstractNum>
  <w:abstractNum w:abstractNumId="1519950">
    <w:lvl>
      <w:numFmt w:val="bullet"/>
      <w:suff w:val="tab"/>
      <w:lvlText w:val="￮"/>
      <w:rPr>
        <w:color w:val="3370ff"/>
      </w:rPr>
    </w:lvl>
  </w:abstractNum>
  <w:abstractNum w:abstractNumId="1519951">
    <w:lvl>
      <w:numFmt w:val="bullet"/>
      <w:suff w:val="tab"/>
      <w:lvlText w:val="•"/>
      <w:rPr>
        <w:color w:val="3370ff"/>
      </w:rPr>
    </w:lvl>
  </w:abstractNum>
  <w:abstractNum w:abstractNumId="1519952">
    <w:lvl>
      <w:start w:val="9"/>
      <w:numFmt w:val="decimal"/>
      <w:suff w:val="tab"/>
      <w:lvlText w:val="%1."/>
      <w:rPr>
        <w:color w:val="3370ff"/>
      </w:rPr>
    </w:lvl>
  </w:abstractNum>
  <w:abstractNum w:abstractNumId="1519953">
    <w:lvl>
      <w:numFmt w:val="bullet"/>
      <w:suff w:val="tab"/>
      <w:lvlText w:val="￮"/>
      <w:rPr>
        <w:color w:val="3370ff"/>
      </w:rPr>
    </w:lvl>
  </w:abstractNum>
  <w:abstractNum w:abstractNumId="1519954">
    <w:lvl>
      <w:numFmt w:val="bullet"/>
      <w:suff w:val="tab"/>
      <w:lvlText w:val="￮"/>
      <w:rPr>
        <w:color w:val="3370ff"/>
      </w:rPr>
    </w:lvl>
  </w:abstractNum>
  <w:abstractNum w:abstractNumId="1519955">
    <w:lvl>
      <w:numFmt w:val="bullet"/>
      <w:suff w:val="tab"/>
      <w:lvlText w:val="￮"/>
      <w:rPr>
        <w:color w:val="3370ff"/>
      </w:rPr>
    </w:lvl>
  </w:abstractNum>
  <w:abstractNum w:abstractNumId="1519956">
    <w:lvl>
      <w:start w:val="10"/>
      <w:numFmt w:val="decimal"/>
      <w:suff w:val="tab"/>
      <w:lvlText w:val="%1."/>
      <w:rPr>
        <w:color w:val="3370ff"/>
      </w:rPr>
    </w:lvl>
  </w:abstractNum>
  <w:abstractNum w:abstractNumId="1519957">
    <w:lvl>
      <w:numFmt w:val="bullet"/>
      <w:suff w:val="tab"/>
      <w:lvlText w:val="￮"/>
      <w:rPr>
        <w:color w:val="3370ff"/>
      </w:rPr>
    </w:lvl>
  </w:abstractNum>
  <w:abstractNum w:abstractNumId="1519958">
    <w:lvl>
      <w:numFmt w:val="bullet"/>
      <w:suff w:val="tab"/>
      <w:lvlText w:val="￮"/>
      <w:rPr>
        <w:color w:val="3370ff"/>
      </w:rPr>
    </w:lvl>
  </w:abstractNum>
  <w:abstractNum w:abstractNumId="1519959">
    <w:lvl>
      <w:numFmt w:val="bullet"/>
      <w:suff w:val="tab"/>
      <w:lvlText w:val="￮"/>
      <w:rPr>
        <w:color w:val="3370ff"/>
      </w:rPr>
    </w:lvl>
  </w:abstractNum>
  <w:abstractNum w:abstractNumId="1519960">
    <w:lvl>
      <w:start w:val="11"/>
      <w:numFmt w:val="decimal"/>
      <w:suff w:val="tab"/>
      <w:lvlText w:val="%1."/>
      <w:rPr>
        <w:color w:val="3370ff"/>
      </w:rPr>
    </w:lvl>
  </w:abstractNum>
  <w:abstractNum w:abstractNumId="1519961">
    <w:lvl>
      <w:numFmt w:val="bullet"/>
      <w:suff w:val="tab"/>
      <w:lvlText w:val="￮"/>
      <w:rPr>
        <w:color w:val="3370ff"/>
      </w:rPr>
    </w:lvl>
  </w:abstractNum>
  <w:abstractNum w:abstractNumId="1519962">
    <w:lvl>
      <w:numFmt w:val="bullet"/>
      <w:suff w:val="tab"/>
      <w:lvlText w:val="￮"/>
      <w:rPr>
        <w:color w:val="3370ff"/>
      </w:rPr>
    </w:lvl>
  </w:abstractNum>
  <w:abstractNum w:abstractNumId="1519963">
    <w:lvl>
      <w:numFmt w:val="bullet"/>
      <w:suff w:val="tab"/>
      <w:lvlText w:val="￮"/>
      <w:rPr>
        <w:color w:val="3370ff"/>
      </w:rPr>
    </w:lvl>
  </w:abstractNum>
  <w:abstractNum w:abstractNumId="1519964">
    <w:lvl>
      <w:start w:val="12"/>
      <w:numFmt w:val="decimal"/>
      <w:suff w:val="tab"/>
      <w:lvlText w:val="%1."/>
      <w:rPr>
        <w:color w:val="3370ff"/>
      </w:rPr>
    </w:lvl>
  </w:abstractNum>
  <w:abstractNum w:abstractNumId="1519965">
    <w:lvl>
      <w:numFmt w:val="bullet"/>
      <w:suff w:val="tab"/>
      <w:lvlText w:val="￮"/>
      <w:rPr>
        <w:color w:val="3370ff"/>
      </w:rPr>
    </w:lvl>
  </w:abstractNum>
  <w:abstractNum w:abstractNumId="1519966">
    <w:lvl>
      <w:numFmt w:val="bullet"/>
      <w:suff w:val="tab"/>
      <w:lvlText w:val="￮"/>
      <w:rPr>
        <w:color w:val="3370ff"/>
      </w:rPr>
    </w:lvl>
  </w:abstractNum>
  <w:abstractNum w:abstractNumId="1519967">
    <w:lvl>
      <w:numFmt w:val="bullet"/>
      <w:suff w:val="tab"/>
      <w:lvlText w:val="￮"/>
      <w:rPr>
        <w:color w:val="3370ff"/>
      </w:rPr>
    </w:lvl>
  </w:abstractNum>
  <w:num w:numId="1">
    <w:abstractNumId w:val="1519923"/>
  </w:num>
  <w:num w:numId="2">
    <w:abstractNumId w:val="1519924"/>
  </w:num>
  <w:num w:numId="3">
    <w:abstractNumId w:val="1519925"/>
  </w:num>
  <w:num w:numId="4">
    <w:abstractNumId w:val="1519926"/>
  </w:num>
  <w:num w:numId="5">
    <w:abstractNumId w:val="1519927"/>
  </w:num>
  <w:num w:numId="6">
    <w:abstractNumId w:val="1519928"/>
  </w:num>
  <w:num w:numId="7">
    <w:abstractNumId w:val="1519929"/>
  </w:num>
  <w:num w:numId="8">
    <w:abstractNumId w:val="1519930"/>
  </w:num>
  <w:num w:numId="9">
    <w:abstractNumId w:val="1519931"/>
  </w:num>
  <w:num w:numId="10">
    <w:abstractNumId w:val="1519932"/>
  </w:num>
  <w:num w:numId="11">
    <w:abstractNumId w:val="1519933"/>
  </w:num>
  <w:num w:numId="12">
    <w:abstractNumId w:val="1519934"/>
  </w:num>
  <w:num w:numId="13">
    <w:abstractNumId w:val="1519935"/>
  </w:num>
  <w:num w:numId="14">
    <w:abstractNumId w:val="1519936"/>
  </w:num>
  <w:num w:numId="15">
    <w:abstractNumId w:val="1519937"/>
  </w:num>
  <w:num w:numId="16">
    <w:abstractNumId w:val="1519938"/>
  </w:num>
  <w:num w:numId="17">
    <w:abstractNumId w:val="1519939"/>
  </w:num>
  <w:num w:numId="18">
    <w:abstractNumId w:val="1519940"/>
  </w:num>
  <w:num w:numId="19">
    <w:abstractNumId w:val="1519941"/>
  </w:num>
  <w:num w:numId="20">
    <w:abstractNumId w:val="1519942"/>
  </w:num>
  <w:num w:numId="21">
    <w:abstractNumId w:val="1519943"/>
  </w:num>
  <w:num w:numId="22">
    <w:abstractNumId w:val="1519944"/>
  </w:num>
  <w:num w:numId="23">
    <w:abstractNumId w:val="1519945"/>
  </w:num>
  <w:num w:numId="24">
    <w:abstractNumId w:val="1519946"/>
  </w:num>
  <w:num w:numId="25">
    <w:abstractNumId w:val="1519947"/>
  </w:num>
  <w:num w:numId="26">
    <w:abstractNumId w:val="1519948"/>
  </w:num>
  <w:num w:numId="27">
    <w:abstractNumId w:val="1519949"/>
  </w:num>
  <w:num w:numId="28">
    <w:abstractNumId w:val="1519950"/>
  </w:num>
  <w:num w:numId="29">
    <w:abstractNumId w:val="1519951"/>
  </w:num>
  <w:num w:numId="30">
    <w:abstractNumId w:val="1519952"/>
  </w:num>
  <w:num w:numId="31">
    <w:abstractNumId w:val="1519953"/>
  </w:num>
  <w:num w:numId="32">
    <w:abstractNumId w:val="1519954"/>
  </w:num>
  <w:num w:numId="33">
    <w:abstractNumId w:val="1519955"/>
  </w:num>
  <w:num w:numId="34">
    <w:abstractNumId w:val="1519956"/>
  </w:num>
  <w:num w:numId="35">
    <w:abstractNumId w:val="1519957"/>
  </w:num>
  <w:num w:numId="36">
    <w:abstractNumId w:val="1519958"/>
  </w:num>
  <w:num w:numId="37">
    <w:abstractNumId w:val="1519959"/>
  </w:num>
  <w:num w:numId="38">
    <w:abstractNumId w:val="1519960"/>
  </w:num>
  <w:num w:numId="39">
    <w:abstractNumId w:val="1519961"/>
  </w:num>
  <w:num w:numId="40">
    <w:abstractNumId w:val="1519962"/>
  </w:num>
  <w:num w:numId="41">
    <w:abstractNumId w:val="1519963"/>
  </w:num>
  <w:num w:numId="42">
    <w:abstractNumId w:val="1519964"/>
  </w:num>
  <w:num w:numId="43">
    <w:abstractNumId w:val="1519965"/>
  </w:num>
  <w:num w:numId="44">
    <w:abstractNumId w:val="1519966"/>
  </w:num>
  <w:num w:numId="45">
    <w:abstractNumId w:val="15199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ily.feishu.cn/?&amp;open-from=feishu_doc" TargetMode="External" Type="http://schemas.openxmlformats.org/officeDocument/2006/relationships/hyperlink"/><Relationship Id="rId5" Target="https://lightgbm.readthedocs.io/en/latest/" TargetMode="External" Type="http://schemas.openxmlformats.org/officeDocument/2006/relationships/hyperlink"/><Relationship Id="rId6" Target="https://lightgbm.readthedocs.io/en/latest/" TargetMode="External" Type="http://schemas.openxmlformats.org/officeDocument/2006/relationships/hyperlink"/><Relationship Id="rId7" Target="numbering.xml" Type="http://schemas.openxmlformats.org/officeDocument/2006/relationships/numbering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2026-05-07T10:38:21Z</dcterms:created>
  <dc:creator>Apache POI</dc:creator>
</cp:coreProperties>
</file>