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925"/>
        <w:spacing w:before="48" w:line="219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565862"/>
          <w:spacing w:val="-5"/>
        </w:rPr>
        <w:t>国家发展改革委</w:t>
      </w:r>
      <w:r>
        <w:rPr>
          <w:sz w:val="24"/>
          <w:szCs w:val="24"/>
          <w:color w:val="565862"/>
          <w:spacing w:val="35"/>
        </w:rPr>
        <w:t xml:space="preserve"> </w:t>
      </w:r>
      <w:r>
        <w:rPr>
          <w:sz w:val="24"/>
          <w:szCs w:val="24"/>
          <w:b/>
          <w:bCs/>
          <w:color w:val="565862"/>
          <w:spacing w:val="-5"/>
        </w:rPr>
        <w:t>国家能源局关于跨电网经营区</w:t>
      </w:r>
    </w:p>
    <w:p>
      <w:pPr>
        <w:pStyle w:val="BodyText"/>
        <w:ind w:left="2689"/>
        <w:spacing w:before="26" w:line="219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565862"/>
          <w:spacing w:val="-3"/>
        </w:rPr>
        <w:t>常态化电力交易机制方案的复函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3480"/>
        <w:spacing w:before="52" w:line="220" w:lineRule="exact"/>
        <w:rPr/>
      </w:pPr>
      <w:r>
        <w:rPr>
          <w:color w:val="565862"/>
          <w:spacing w:val="-1"/>
          <w:position w:val="1"/>
        </w:rPr>
        <w:t>发改体改〔</w:t>
      </w:r>
      <w:r>
        <w:rPr>
          <w:rFonts w:ascii="Arial" w:hAnsi="Arial" w:eastAsia="Arial" w:cs="Arial"/>
          <w:color w:val="565862"/>
          <w:spacing w:val="-1"/>
          <w:position w:val="1"/>
        </w:rPr>
        <w:t>2025</w:t>
      </w:r>
      <w:r>
        <w:rPr>
          <w:color w:val="565862"/>
          <w:spacing w:val="-1"/>
          <w:position w:val="1"/>
        </w:rPr>
        <w:t>〕</w:t>
      </w:r>
      <w:r>
        <w:rPr>
          <w:rFonts w:ascii="Arial" w:hAnsi="Arial" w:eastAsia="Arial" w:cs="Arial"/>
          <w:color w:val="565862"/>
          <w:spacing w:val="-1"/>
          <w:position w:val="1"/>
        </w:rPr>
        <w:t>915 </w:t>
      </w:r>
      <w:r>
        <w:rPr>
          <w:color w:val="565862"/>
          <w:spacing w:val="-1"/>
          <w:position w:val="1"/>
        </w:rPr>
        <w:t>号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231"/>
        <w:spacing w:before="52" w:line="220" w:lineRule="auto"/>
        <w:rPr/>
      </w:pPr>
      <w:r>
        <w:rPr>
          <w:color w:val="565862"/>
          <w:spacing w:val="-1"/>
        </w:rPr>
        <w:t>国家电网有限公司、中国南方电网有限责任公司：</w:t>
      </w:r>
    </w:p>
    <w:p>
      <w:pPr>
        <w:pStyle w:val="BodyText"/>
        <w:ind w:left="535"/>
        <w:spacing w:before="120" w:line="220" w:lineRule="auto"/>
        <w:rPr/>
      </w:pPr>
      <w:r>
        <w:rPr>
          <w:color w:val="565862"/>
        </w:rPr>
        <w:t>你公司报送的《关于报请批复国家电网、南方电网跨经营区常态化交易机制方案的请示》收悉</w:t>
      </w:r>
      <w:r>
        <w:rPr>
          <w:color w:val="565862"/>
          <w:spacing w:val="-1"/>
        </w:rPr>
        <w:t>。现批复如下。</w:t>
      </w:r>
    </w:p>
    <w:p>
      <w:pPr>
        <w:pStyle w:val="BodyText"/>
        <w:ind w:left="537"/>
        <w:spacing w:before="121" w:line="220" w:lineRule="auto"/>
        <w:rPr/>
      </w:pPr>
      <w:r>
        <w:rPr>
          <w:color w:val="565862"/>
        </w:rPr>
        <w:t>一、原则同意《跨电网经营区常态化电力交易机制方案</w:t>
      </w:r>
      <w:r>
        <w:rPr>
          <w:color w:val="565862"/>
          <w:spacing w:val="-1"/>
        </w:rPr>
        <w:t>》，请认真组织实施。</w:t>
      </w:r>
    </w:p>
    <w:p>
      <w:pPr>
        <w:pStyle w:val="BodyText"/>
        <w:ind w:left="215" w:right="208" w:firstLine="322"/>
        <w:spacing w:before="122" w:line="360" w:lineRule="auto"/>
        <w:rPr/>
      </w:pPr>
      <w:r>
        <w:rPr>
          <w:color w:val="565862"/>
        </w:rPr>
        <w:t>二、实现跨电网经营区常态化交易，是贯彻落实党的二十届三</w:t>
      </w:r>
      <w:r>
        <w:rPr>
          <w:color w:val="565862"/>
          <w:spacing w:val="-1"/>
        </w:rPr>
        <w:t>中全会精神、建设全国统一电力市场的标志性举措，</w:t>
      </w:r>
      <w:r>
        <w:rPr>
          <w:color w:val="565862"/>
        </w:rPr>
        <w:t>对打破市场分割和地区封锁、在全国范围内优化电力资源配置具有重要</w:t>
      </w:r>
      <w:r>
        <w:rPr>
          <w:color w:val="565862"/>
          <w:spacing w:val="-1"/>
        </w:rPr>
        <w:t>意义。国家电网公司、南方电网公司要进一步深</w:t>
      </w:r>
      <w:r>
        <w:rPr>
          <w:color w:val="565862"/>
        </w:rPr>
        <w:t>化合作，充分发挥跨电网经营区常态化交易机制作用，促进电力市场互</w:t>
      </w:r>
      <w:r>
        <w:rPr>
          <w:color w:val="565862"/>
          <w:spacing w:val="-1"/>
        </w:rPr>
        <w:t>联互通，提升网间通道利用效率，强化各层次市</w:t>
      </w:r>
      <w:r>
        <w:rPr>
          <w:color w:val="565862"/>
        </w:rPr>
        <w:t>场的衔接协同，保障全国统一电力市场体系</w:t>
      </w:r>
      <w:r>
        <w:rPr>
          <w:color w:val="565862"/>
          <w:spacing w:val="-1"/>
        </w:rPr>
        <w:t>高效运行。</w:t>
      </w:r>
    </w:p>
    <w:p>
      <w:pPr>
        <w:pStyle w:val="BodyText"/>
        <w:ind w:left="218" w:right="165" w:firstLine="317"/>
        <w:spacing w:line="360" w:lineRule="auto"/>
        <w:rPr/>
      </w:pPr>
      <w:r>
        <w:rPr>
          <w:color w:val="565862"/>
          <w:spacing w:val="-1"/>
        </w:rPr>
        <w:t>三、国家电网公司、南方电网公司要在</w:t>
      </w:r>
      <w:r>
        <w:rPr>
          <w:color w:val="565862"/>
          <w:spacing w:val="-34"/>
        </w:rPr>
        <w:t xml:space="preserve"> </w:t>
      </w:r>
      <w:r>
        <w:rPr>
          <w:color w:val="565862"/>
          <w:spacing w:val="-1"/>
        </w:rPr>
        <w:t>2025</w:t>
      </w:r>
      <w:r>
        <w:rPr>
          <w:color w:val="565862"/>
          <w:spacing w:val="-34"/>
        </w:rPr>
        <w:t xml:space="preserve"> </w:t>
      </w:r>
      <w:r>
        <w:rPr>
          <w:color w:val="565862"/>
          <w:spacing w:val="-1"/>
        </w:rPr>
        <w:t>年迎峰度夏期间，依托跨电网</w:t>
      </w:r>
      <w:r>
        <w:rPr>
          <w:color w:val="565862"/>
          <w:spacing w:val="-2"/>
        </w:rPr>
        <w:t>常态化交易机制实现电力资源优化配置，</w:t>
      </w:r>
      <w:r>
        <w:rPr>
          <w:color w:val="565862"/>
        </w:rPr>
        <w:t>更好支撑电力保供。年底前，进一步统一市场规则、交易品种和交易时序，实现跨</w:t>
      </w:r>
      <w:r>
        <w:rPr>
          <w:color w:val="565862"/>
          <w:spacing w:val="-1"/>
        </w:rPr>
        <w:t>电网交易常态化开市。</w:t>
      </w:r>
    </w:p>
    <w:p>
      <w:pPr>
        <w:pStyle w:val="BodyText"/>
        <w:ind w:left="216" w:right="152" w:firstLine="333"/>
        <w:spacing w:before="3" w:line="359" w:lineRule="auto"/>
        <w:rPr/>
      </w:pPr>
      <w:r>
        <w:rPr>
          <w:color w:val="565862"/>
          <w:spacing w:val="-1"/>
        </w:rPr>
        <w:t>四、国家电网公司、南方电网公司要落实主体责任，按照有关政策要求，持续完善跨电网交易规则，强化技术平台</w:t>
      </w:r>
      <w:r>
        <w:rPr>
          <w:color w:val="565862"/>
          <w:spacing w:val="-1"/>
        </w:rPr>
        <w:t>互联互通和信息共享互认，尽快实现电力市场成员“一地注册、全国共享</w:t>
      </w:r>
      <w:r>
        <w:rPr>
          <w:color w:val="565862"/>
          <w:spacing w:val="-50"/>
        </w:rPr>
        <w:t xml:space="preserve"> </w:t>
      </w:r>
      <w:r>
        <w:rPr>
          <w:color w:val="565862"/>
          <w:spacing w:val="-1"/>
        </w:rPr>
        <w:t>”。要完善跨省跨区应急调度价格机制和结算</w:t>
      </w:r>
      <w:r>
        <w:rPr>
          <w:color w:val="565862"/>
          <w:spacing w:val="-2"/>
        </w:rPr>
        <w:t>管理，及时跟踪市场运营状况，加强信息披露和报送，做好应急预案，切实</w:t>
      </w:r>
      <w:r>
        <w:rPr>
          <w:color w:val="565862"/>
          <w:spacing w:val="-3"/>
        </w:rPr>
        <w:t>防范市场风险，保障电力系统安全稳定运行。</w:t>
      </w:r>
      <w:r>
        <w:rPr>
          <w:color w:val="565862"/>
          <w:spacing w:val="-1"/>
        </w:rPr>
        <w:t>重大问题及时向国家发展改革委、国家能源局报告。</w:t>
      </w:r>
    </w:p>
    <w:p>
      <w:pPr>
        <w:pStyle w:val="BodyText"/>
        <w:ind w:left="218" w:right="208" w:firstLine="319"/>
        <w:spacing w:line="360" w:lineRule="auto"/>
        <w:rPr/>
      </w:pPr>
      <w:r>
        <w:rPr>
          <w:color w:val="565862"/>
        </w:rPr>
        <w:t>五、国家发展改革委、国家能源局将持续强化对跨电网常态化</w:t>
      </w:r>
      <w:r>
        <w:rPr>
          <w:color w:val="565862"/>
          <w:spacing w:val="-1"/>
        </w:rPr>
        <w:t>交易的指导，健全配套政策，及时协调解决问题，进</w:t>
      </w:r>
      <w:r>
        <w:rPr>
          <w:color w:val="565862"/>
          <w:spacing w:val="-1"/>
        </w:rPr>
        <w:t>一步完善全国统一电力市场体系。</w:t>
      </w:r>
    </w:p>
    <w:p>
      <w:pPr>
        <w:pStyle w:val="BodyText"/>
        <w:ind w:left="547"/>
        <w:spacing w:before="1" w:line="219" w:lineRule="auto"/>
        <w:rPr/>
      </w:pPr>
      <w:r>
        <w:rPr>
          <w:color w:val="565862"/>
          <w:spacing w:val="-1"/>
        </w:rPr>
        <w:t>附件：跨电网经营区常态化电力交易机制方案</w:t>
      </w:r>
    </w:p>
    <w:p>
      <w:pPr>
        <w:pStyle w:val="BodyText"/>
        <w:ind w:left="3824"/>
        <w:spacing w:before="282" w:line="220" w:lineRule="auto"/>
        <w:rPr/>
      </w:pPr>
      <w:r>
        <w:rPr>
          <w:color w:val="565862"/>
          <w:spacing w:val="-4"/>
        </w:rPr>
        <w:t>国家发展改革委</w:t>
      </w:r>
    </w:p>
    <w:p>
      <w:pPr>
        <w:pStyle w:val="BodyText"/>
        <w:ind w:left="3824"/>
        <w:spacing w:before="122" w:line="221" w:lineRule="auto"/>
        <w:rPr/>
      </w:pPr>
      <w:r>
        <w:rPr>
          <w:color w:val="565862"/>
          <w:spacing w:val="-9"/>
        </w:rPr>
        <w:t>国</w:t>
      </w:r>
      <w:r>
        <w:rPr>
          <w:color w:val="565862"/>
          <w:spacing w:val="6"/>
        </w:rPr>
        <w:t xml:space="preserve"> </w:t>
      </w:r>
      <w:r>
        <w:rPr>
          <w:color w:val="565862"/>
          <w:spacing w:val="-9"/>
        </w:rPr>
        <w:t>家</w:t>
      </w:r>
      <w:r>
        <w:rPr>
          <w:color w:val="565862"/>
          <w:spacing w:val="12"/>
        </w:rPr>
        <w:t xml:space="preserve"> </w:t>
      </w:r>
      <w:r>
        <w:rPr>
          <w:color w:val="565862"/>
          <w:spacing w:val="-9"/>
        </w:rPr>
        <w:t>能</w:t>
      </w:r>
      <w:r>
        <w:rPr>
          <w:color w:val="565862"/>
          <w:spacing w:val="4"/>
        </w:rPr>
        <w:t xml:space="preserve"> </w:t>
      </w:r>
      <w:r>
        <w:rPr>
          <w:color w:val="565862"/>
          <w:spacing w:val="-9"/>
        </w:rPr>
        <w:t>源</w:t>
      </w:r>
      <w:r>
        <w:rPr>
          <w:color w:val="565862"/>
          <w:spacing w:val="8"/>
        </w:rPr>
        <w:t xml:space="preserve"> </w:t>
      </w:r>
      <w:r>
        <w:rPr>
          <w:color w:val="565862"/>
          <w:spacing w:val="-9"/>
        </w:rPr>
        <w:t>局</w:t>
      </w:r>
    </w:p>
    <w:p>
      <w:pPr>
        <w:pStyle w:val="BodyText"/>
        <w:ind w:left="3791"/>
        <w:spacing w:before="120" w:line="220" w:lineRule="auto"/>
        <w:rPr/>
      </w:pPr>
      <w:r>
        <w:rPr>
          <w:color w:val="565862"/>
          <w:spacing w:val="-6"/>
        </w:rPr>
        <w:t>2025</w:t>
      </w:r>
      <w:r>
        <w:rPr>
          <w:color w:val="565862"/>
          <w:spacing w:val="-32"/>
        </w:rPr>
        <w:t xml:space="preserve"> </w:t>
      </w:r>
      <w:r>
        <w:rPr>
          <w:color w:val="565862"/>
          <w:spacing w:val="-6"/>
        </w:rPr>
        <w:t>年</w:t>
      </w:r>
      <w:r>
        <w:rPr>
          <w:color w:val="565862"/>
          <w:spacing w:val="-31"/>
        </w:rPr>
        <w:t xml:space="preserve"> </w:t>
      </w:r>
      <w:r>
        <w:rPr>
          <w:color w:val="565862"/>
          <w:spacing w:val="-6"/>
        </w:rPr>
        <w:t>7</w:t>
      </w:r>
      <w:r>
        <w:rPr>
          <w:color w:val="565862"/>
          <w:spacing w:val="-31"/>
        </w:rPr>
        <w:t xml:space="preserve"> </w:t>
      </w:r>
      <w:r>
        <w:rPr>
          <w:color w:val="565862"/>
          <w:spacing w:val="-6"/>
        </w:rPr>
        <w:t>月</w:t>
      </w:r>
      <w:r>
        <w:rPr>
          <w:color w:val="565862"/>
          <w:spacing w:val="-23"/>
        </w:rPr>
        <w:t xml:space="preserve"> </w:t>
      </w:r>
      <w:r>
        <w:rPr>
          <w:color w:val="565862"/>
          <w:spacing w:val="-6"/>
        </w:rPr>
        <w:t>1 日</w:t>
      </w:r>
    </w:p>
    <w:p>
      <w:pPr>
        <w:spacing w:line="46" w:lineRule="exact"/>
        <w:rPr/>
      </w:pPr>
      <w:r/>
    </w:p>
    <w:tbl>
      <w:tblPr>
        <w:tblStyle w:val="TableNormal"/>
        <w:tblW w:w="8719" w:type="dxa"/>
        <w:tblInd w:w="2" w:type="dxa"/>
        <w:shd w:val="clear" w:fill="C8E6FA"/>
        <w:tblLayout w:type="fixed"/>
        <w:tblBorders>
          <w:left w:val="single" w:color="CCCCCC" w:sz="2" w:space="0"/>
          <w:bottom w:val="single" w:color="CCCCCC" w:sz="2" w:space="0"/>
          <w:right w:val="single" w:color="CCCCCC" w:sz="2" w:space="0"/>
          <w:top w:val="single" w:color="CCCCCC" w:sz="2" w:space="0"/>
        </w:tblBorders>
      </w:tblPr>
      <w:tblGrid>
        <w:gridCol w:w="8719"/>
      </w:tblGrid>
      <w:tr>
        <w:trPr>
          <w:trHeight w:val="489" w:hRule="atLeast"/>
        </w:trPr>
        <w:tc>
          <w:tcPr>
            <w:shd w:val="clear" w:fill="C8E6FA"/>
            <w:tcW w:w="8719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223"/>
              <w:spacing w:before="52" w:line="206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b/>
                <w:bCs/>
                <w:color w:val="333333"/>
                <w:spacing w:val="-8"/>
              </w:rPr>
              <w:t>附件：</w:t>
            </w:r>
          </w:p>
        </w:tc>
      </w:tr>
    </w:tbl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216"/>
        <w:spacing w:before="53" w:line="220" w:lineRule="exact"/>
        <w:rPr>
          <w:rFonts w:ascii="Arial" w:hAnsi="Arial" w:eastAsia="Arial" w:cs="Arial"/>
        </w:rPr>
      </w:pPr>
      <w:hyperlink w:history="true" r:id="rId1">
        <w:r>
          <w:rPr>
            <w:color w:val="2F6598"/>
            <w:spacing w:val="1"/>
            <w:position w:val="2"/>
          </w:rPr>
          <w:t>跨电网经营区常态化电力交易机制方案</w:t>
        </w:r>
        <w:r>
          <w:rPr>
            <w:rFonts w:ascii="Arial" w:hAnsi="Arial" w:eastAsia="Arial" w:cs="Arial"/>
            <w:color w:val="2F6598"/>
            <w:spacing w:val="1"/>
            <w:position w:val="2"/>
          </w:rPr>
          <w:t>.</w:t>
        </w:r>
        <w:r>
          <w:rPr>
            <w:rFonts w:ascii="Arial" w:hAnsi="Arial" w:eastAsia="Arial" w:cs="Arial"/>
            <w:color w:val="2F6598"/>
            <w:position w:val="2"/>
          </w:rPr>
          <w:t>pdf</w:t>
        </w:r>
        <w:r>
          <w:rPr>
            <w:color w:val="2F6598"/>
            <w:spacing w:val="1"/>
            <w:position w:val="2"/>
          </w:rPr>
          <w:t>跨电网经营区常态化电力交易机制方案</w:t>
        </w:r>
        <w:r>
          <w:rPr>
            <w:rFonts w:ascii="Arial" w:hAnsi="Arial" w:eastAsia="Arial" w:cs="Arial"/>
            <w:color w:val="2F6598"/>
            <w:spacing w:val="1"/>
            <w:position w:val="2"/>
          </w:rPr>
          <w:t>.</w:t>
        </w:r>
        <w:r>
          <w:rPr>
            <w:rFonts w:ascii="Arial" w:hAnsi="Arial" w:eastAsia="Arial" w:cs="Arial"/>
            <w:color w:val="2F6598"/>
            <w:position w:val="2"/>
          </w:rPr>
          <w:t>ofd</w:t>
        </w:r>
      </w:hyperlink>
    </w:p>
    <w:sectPr>
      <w:pgSz w:w="11906" w:h="16839"/>
      <w:pgMar w:top="1429" w:right="1591" w:bottom="0" w:left="159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yperlink" Target="https://www.ndrc.gov.cn/xxgk/zcfb/tz/202507/P020250711597755135521.pdf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2026-04-28T22:41:22Z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2026-04-30T12:59:21</vt:filetime>
  </property>
</Properties>
</file>